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ayout w:type="fixed"/>
        <w:tblCellMar>
          <w:left w:w="0" w:type="dxa"/>
          <w:right w:w="0" w:type="dxa"/>
        </w:tblCellMar>
        <w:tblLook w:val="0000" w:firstRow="0" w:lastRow="0" w:firstColumn="0" w:lastColumn="0" w:noHBand="0" w:noVBand="0"/>
      </w:tblPr>
      <w:tblGrid>
        <w:gridCol w:w="4677"/>
        <w:gridCol w:w="4678"/>
      </w:tblGrid>
      <w:tr w:rsidR="00241897" w:rsidRPr="00241897">
        <w:tc>
          <w:tcPr>
            <w:tcW w:w="4677" w:type="dxa"/>
          </w:tcPr>
          <w:p w:rsidR="00241897" w:rsidRPr="00241897" w:rsidRDefault="00241897" w:rsidP="00241897">
            <w:pPr>
              <w:autoSpaceDE w:val="0"/>
              <w:autoSpaceDN w:val="0"/>
              <w:adjustRightInd w:val="0"/>
              <w:spacing w:after="0" w:line="240" w:lineRule="auto"/>
              <w:outlineLvl w:val="0"/>
              <w:rPr>
                <w:rFonts w:ascii="Times New Roman" w:hAnsi="Times New Roman" w:cs="Times New Roman"/>
                <w:sz w:val="24"/>
                <w:szCs w:val="24"/>
              </w:rPr>
            </w:pPr>
            <w:r w:rsidRPr="00241897">
              <w:rPr>
                <w:rFonts w:ascii="Times New Roman" w:hAnsi="Times New Roman" w:cs="Times New Roman"/>
                <w:sz w:val="24"/>
                <w:szCs w:val="24"/>
              </w:rPr>
              <w:t>27 декабря 2013 года</w:t>
            </w:r>
          </w:p>
        </w:tc>
        <w:tc>
          <w:tcPr>
            <w:tcW w:w="4677" w:type="dxa"/>
          </w:tcPr>
          <w:p w:rsidR="00241897" w:rsidRPr="00241897" w:rsidRDefault="00241897" w:rsidP="00241897">
            <w:pPr>
              <w:autoSpaceDE w:val="0"/>
              <w:autoSpaceDN w:val="0"/>
              <w:adjustRightInd w:val="0"/>
              <w:spacing w:after="0" w:line="240" w:lineRule="auto"/>
              <w:jc w:val="right"/>
              <w:outlineLvl w:val="0"/>
              <w:rPr>
                <w:rFonts w:ascii="Times New Roman" w:hAnsi="Times New Roman" w:cs="Times New Roman"/>
                <w:sz w:val="24"/>
                <w:szCs w:val="24"/>
              </w:rPr>
            </w:pPr>
            <w:r w:rsidRPr="00241897">
              <w:rPr>
                <w:rFonts w:ascii="Times New Roman" w:hAnsi="Times New Roman" w:cs="Times New Roman"/>
                <w:sz w:val="24"/>
                <w:szCs w:val="24"/>
              </w:rPr>
              <w:t>N 101-З</w:t>
            </w:r>
          </w:p>
        </w:tc>
      </w:tr>
    </w:tbl>
    <w:p w:rsidR="00241897" w:rsidRPr="00241897" w:rsidRDefault="00241897" w:rsidP="00241897">
      <w:pPr>
        <w:pBdr>
          <w:top w:val="single" w:sz="6" w:space="0" w:color="auto"/>
        </w:pBd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ЗАКОН</w:t>
      </w: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РЕСПУБЛИКИ МОРДОВИЯ</w:t>
      </w: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О НОРМАТИВАХ РАСХОДОВ НА ОБЕСПЕЧЕНИЕ</w:t>
      </w: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ГОСУДАРСТВЕННЫХ ГАРАНТИЙ РЕАЛИЗАЦИИ ПРАВ</w:t>
      </w: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НА ПОЛУЧЕНИЕ ОБЩЕДОСТУПНОГО И БЕСПЛАТНОГО</w:t>
      </w: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ДОШКОЛЬНОГО ОБРАЗОВАНИЯ В МУНИЦИПАЛЬНЫХ</w:t>
      </w: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ДОШКОЛЬНЫХ ОБРАЗОВАТЕЛЬНЫХ ОРГАНИЗАЦИЯХ,</w:t>
      </w: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В МУНИЦИПАЛЬНЫХ ОБЩЕОБРАЗОВАТЕЛЬНЫХ</w:t>
      </w: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ОРГАНИЗАЦИЯХ В РЕСПУБЛИКЕ МОРДОВИЯ</w:t>
      </w:r>
    </w:p>
    <w:p w:rsidR="00241897" w:rsidRPr="00241897" w:rsidRDefault="00241897" w:rsidP="00241897">
      <w:pPr>
        <w:autoSpaceDE w:val="0"/>
        <w:autoSpaceDN w:val="0"/>
        <w:adjustRightInd w:val="0"/>
        <w:spacing w:after="0" w:line="240" w:lineRule="auto"/>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Принят</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Государственным Собранием</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Республики Мордовия</w:t>
      </w:r>
    </w:p>
    <w:p w:rsid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24 декабря 2013 года</w:t>
      </w:r>
    </w:p>
    <w:p w:rsid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p>
    <w:p w:rsidR="00241897" w:rsidRPr="00241897" w:rsidRDefault="00241897" w:rsidP="0024189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41897">
        <w:rPr>
          <w:rFonts w:ascii="Times New Roman" w:eastAsia="Times New Roman" w:hAnsi="Times New Roman" w:cs="Times New Roman"/>
          <w:sz w:val="24"/>
          <w:szCs w:val="24"/>
          <w:lang w:eastAsia="ru-RU"/>
        </w:rPr>
        <w:t xml:space="preserve">(в ред. </w:t>
      </w:r>
      <w:hyperlink r:id="rId4" w:history="1">
        <w:r w:rsidRPr="00241897">
          <w:rPr>
            <w:rFonts w:ascii="Times New Roman" w:eastAsia="Times New Roman" w:hAnsi="Times New Roman" w:cs="Times New Roman"/>
            <w:sz w:val="24"/>
            <w:szCs w:val="24"/>
            <w:lang w:eastAsia="ru-RU"/>
          </w:rPr>
          <w:t>Закона</w:t>
        </w:r>
      </w:hyperlink>
      <w:r>
        <w:rPr>
          <w:rFonts w:ascii="Times New Roman" w:eastAsia="Times New Roman" w:hAnsi="Times New Roman" w:cs="Times New Roman"/>
          <w:sz w:val="24"/>
          <w:szCs w:val="24"/>
          <w:lang w:eastAsia="ru-RU"/>
        </w:rPr>
        <w:t xml:space="preserve"> РМ от 22</w:t>
      </w:r>
      <w:r w:rsidRPr="0024189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07</w:t>
      </w:r>
      <w:r w:rsidRPr="0024189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241897">
        <w:rPr>
          <w:rFonts w:ascii="Times New Roman" w:eastAsia="Times New Roman" w:hAnsi="Times New Roman" w:cs="Times New Roman"/>
          <w:sz w:val="24"/>
          <w:szCs w:val="24"/>
          <w:lang w:eastAsia="ru-RU"/>
        </w:rPr>
        <w:t xml:space="preserve"> г.</w:t>
      </w:r>
      <w:r>
        <w:rPr>
          <w:rFonts w:ascii="Times New Roman" w:eastAsia="Times New Roman" w:hAnsi="Times New Roman" w:cs="Times New Roman"/>
          <w:sz w:val="24"/>
          <w:szCs w:val="24"/>
          <w:lang w:eastAsia="ru-RU"/>
        </w:rPr>
        <w:t xml:space="preserve"> </w:t>
      </w:r>
      <w:r w:rsidRPr="0024189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49</w:t>
      </w:r>
      <w:r w:rsidRPr="00241897">
        <w:rPr>
          <w:rFonts w:ascii="Times New Roman" w:eastAsia="Times New Roman" w:hAnsi="Times New Roman" w:cs="Times New Roman"/>
          <w:sz w:val="24"/>
          <w:szCs w:val="24"/>
          <w:lang w:eastAsia="ru-RU"/>
        </w:rPr>
        <w:t>-З)</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241897">
        <w:rPr>
          <w:rFonts w:ascii="Times New Roman" w:hAnsi="Times New Roman" w:cs="Times New Roman"/>
          <w:b/>
          <w:bCs/>
          <w:sz w:val="24"/>
          <w:szCs w:val="24"/>
        </w:rPr>
        <w:t>Статья 1</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Настоящий Закон устанавливает порядок расчета нормативов расходов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за счет средств республиканского бюджета Республики Мордовия в части финансового обеспечения расходов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(далее - нормативы), и порядок распределения субвенций на исполнение соответствующих расходных обязательств муниципальных образований (далее - субвенции).</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241897">
        <w:rPr>
          <w:rFonts w:ascii="Times New Roman" w:hAnsi="Times New Roman" w:cs="Times New Roman"/>
          <w:b/>
          <w:bCs/>
          <w:sz w:val="24"/>
          <w:szCs w:val="24"/>
        </w:rPr>
        <w:t>Статья 1.1</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 Малокомплектными дошкольными образовательными организациями в Республике Мордовия являются дошкольные образовательные организации со средней наполняемостью разновозрастной группы 10 человек и менее и не имеющие других групп.</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2. Перечень малокомплектных дошкольных образовательных организаций устанавливается ежегодно исполнительным органом государственной власти Республики Мордовия, уполномоченным в сфере образования.</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241897">
        <w:rPr>
          <w:rFonts w:ascii="Times New Roman" w:hAnsi="Times New Roman" w:cs="Times New Roman"/>
          <w:b/>
          <w:bCs/>
          <w:sz w:val="24"/>
          <w:szCs w:val="24"/>
        </w:rPr>
        <w:t>Статья 2</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 Нормативы рассчитываются на одного воспитанника в год по возрасту воспитанников и видам групп в зависимости от направленности (общеразвивающей, оздоровительной, комбинированной, компенсирующей (для детей с тяжелыми нарушениями речи, с частичной потерей зрения (слабовидящие), с нарушением интеллекта (умственная отсталость) для детей старше 3-х лет с фонетико-фонематическими нарушениями речи), с учетом режима работы дошкольной образовательной организации в день (9 часов, 10,5 часов, 12 часов), количеством дней работы в неделю (5-дневная), в муниципальных дошкольных образовательных организациях, в муниципальных общеобразовательных организациях, находящихся в городских и сельских населенных пунктах, за исключением малокомплектных дошкольных образовательных организаций.</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lastRenderedPageBreak/>
        <w:t>2. Расходы на финансовое обеспечение малокомплектных дошкольных образовательных организаций рассчитываются вне зависимости от численности обучающихся и определяются с учетом фактических расходов на осуществление образовательной деятельности (за исключением расходов на содержание зданий и оплату коммунальных услуг).</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241897">
        <w:rPr>
          <w:rFonts w:ascii="Times New Roman" w:hAnsi="Times New Roman" w:cs="Times New Roman"/>
          <w:b/>
          <w:bCs/>
          <w:sz w:val="24"/>
          <w:szCs w:val="24"/>
        </w:rPr>
        <w:t>Статья 3</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Порядок определения общего объема субвенций, предоставляемых местным бюджетам из республиканского бюджета Республики Мордовия для осуществления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 Республике Мордовия, методика расчета норматива для определения общего объема указанных субвенций, показатели (критерии) и методика распределения между муниципальными образованиями общего объема субвенций устанавливаются в соответствии с приложением к настоящему Закону.</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241897">
        <w:rPr>
          <w:rFonts w:ascii="Times New Roman" w:hAnsi="Times New Roman" w:cs="Times New Roman"/>
          <w:b/>
          <w:bCs/>
          <w:sz w:val="24"/>
          <w:szCs w:val="24"/>
        </w:rPr>
        <w:t>Статья 4</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Нормативы утверждаются ежегодно Законом Республики Мордовия о республиканском бюджете Республики Мордовия на очередной финансовый год и плановый период.</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241897">
        <w:rPr>
          <w:rFonts w:ascii="Times New Roman" w:hAnsi="Times New Roman" w:cs="Times New Roman"/>
          <w:b/>
          <w:bCs/>
          <w:sz w:val="24"/>
          <w:szCs w:val="24"/>
        </w:rPr>
        <w:t>Статья 5</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bookmarkStart w:id="0" w:name="Par52"/>
      <w:bookmarkEnd w:id="0"/>
      <w:r w:rsidRPr="00241897">
        <w:rPr>
          <w:rFonts w:ascii="Times New Roman" w:hAnsi="Times New Roman" w:cs="Times New Roman"/>
          <w:sz w:val="24"/>
          <w:szCs w:val="24"/>
        </w:rPr>
        <w:t>1. Финансовое обеспечение получения дошкольного образования в частных дошкольных образовательных организациях, дошкольного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осуществляется посредством предоставления указанным образовательным организациям из республиканского бюджета Республики Мордовия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2. Порядок предоставления субсидий, указанных в пункте 1 настоящей статьи, устанавливается нормативными правовыми актами Правительства Республики Мордовия.</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241897">
        <w:rPr>
          <w:rFonts w:ascii="Times New Roman" w:hAnsi="Times New Roman" w:cs="Times New Roman"/>
          <w:b/>
          <w:bCs/>
          <w:sz w:val="24"/>
          <w:szCs w:val="24"/>
        </w:rPr>
        <w:t>Статья 6. Утратила силу. - Закон РМ от 22.07.2020 N 49-З.</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241897">
        <w:rPr>
          <w:rFonts w:ascii="Times New Roman" w:hAnsi="Times New Roman" w:cs="Times New Roman"/>
          <w:b/>
          <w:bCs/>
          <w:sz w:val="24"/>
          <w:szCs w:val="24"/>
        </w:rPr>
        <w:t>Статья 7</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Настоящий Закон вступает в силу с 1 января 2014 года.</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Глава Республики Мордовия</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В.Д.ВОЛКОВ</w:t>
      </w:r>
    </w:p>
    <w:p w:rsidR="00241897" w:rsidRPr="00241897" w:rsidRDefault="00241897" w:rsidP="00241897">
      <w:pPr>
        <w:autoSpaceDE w:val="0"/>
        <w:autoSpaceDN w:val="0"/>
        <w:adjustRightInd w:val="0"/>
        <w:spacing w:after="0" w:line="240" w:lineRule="auto"/>
        <w:ind w:firstLine="709"/>
        <w:rPr>
          <w:rFonts w:ascii="Times New Roman" w:hAnsi="Times New Roman" w:cs="Times New Roman"/>
          <w:sz w:val="24"/>
          <w:szCs w:val="24"/>
        </w:rPr>
      </w:pPr>
      <w:r w:rsidRPr="00241897">
        <w:rPr>
          <w:rFonts w:ascii="Times New Roman" w:hAnsi="Times New Roman" w:cs="Times New Roman"/>
          <w:sz w:val="24"/>
          <w:szCs w:val="24"/>
        </w:rPr>
        <w:t>г. Саранск</w:t>
      </w:r>
    </w:p>
    <w:p w:rsidR="00241897" w:rsidRPr="00241897" w:rsidRDefault="00241897" w:rsidP="00241897">
      <w:pPr>
        <w:autoSpaceDE w:val="0"/>
        <w:autoSpaceDN w:val="0"/>
        <w:adjustRightInd w:val="0"/>
        <w:spacing w:after="0" w:line="240" w:lineRule="auto"/>
        <w:ind w:firstLine="709"/>
        <w:rPr>
          <w:rFonts w:ascii="Times New Roman" w:hAnsi="Times New Roman" w:cs="Times New Roman"/>
          <w:sz w:val="24"/>
          <w:szCs w:val="24"/>
        </w:rPr>
      </w:pPr>
      <w:r w:rsidRPr="00241897">
        <w:rPr>
          <w:rFonts w:ascii="Times New Roman" w:hAnsi="Times New Roman" w:cs="Times New Roman"/>
          <w:sz w:val="24"/>
          <w:szCs w:val="24"/>
        </w:rPr>
        <w:t>27 декабря 2013 года</w:t>
      </w:r>
    </w:p>
    <w:p w:rsidR="00241897" w:rsidRPr="00241897" w:rsidRDefault="00241897" w:rsidP="00241897">
      <w:pPr>
        <w:autoSpaceDE w:val="0"/>
        <w:autoSpaceDN w:val="0"/>
        <w:adjustRightInd w:val="0"/>
        <w:spacing w:after="0" w:line="240" w:lineRule="auto"/>
        <w:ind w:firstLine="709"/>
        <w:rPr>
          <w:rFonts w:ascii="Times New Roman" w:hAnsi="Times New Roman" w:cs="Times New Roman"/>
          <w:sz w:val="24"/>
          <w:szCs w:val="24"/>
        </w:rPr>
      </w:pPr>
      <w:r w:rsidRPr="00241897">
        <w:rPr>
          <w:rFonts w:ascii="Times New Roman" w:hAnsi="Times New Roman" w:cs="Times New Roman"/>
          <w:sz w:val="24"/>
          <w:szCs w:val="24"/>
        </w:rPr>
        <w:t>N 101-З</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right"/>
        <w:outlineLvl w:val="0"/>
        <w:rPr>
          <w:rFonts w:ascii="Times New Roman" w:hAnsi="Times New Roman" w:cs="Times New Roman"/>
          <w:sz w:val="24"/>
          <w:szCs w:val="24"/>
        </w:rPr>
      </w:pPr>
      <w:r w:rsidRPr="00241897">
        <w:rPr>
          <w:rFonts w:ascii="Times New Roman" w:hAnsi="Times New Roman" w:cs="Times New Roman"/>
          <w:sz w:val="24"/>
          <w:szCs w:val="24"/>
        </w:rPr>
        <w:lastRenderedPageBreak/>
        <w:t>Приложение</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к Закону Республики Мордовия</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w:t>
      </w:r>
      <w:r w:rsidRPr="00241897">
        <w:rPr>
          <w:rFonts w:ascii="Times New Roman" w:hAnsi="Times New Roman" w:cs="Times New Roman"/>
          <w:sz w:val="24"/>
          <w:szCs w:val="24"/>
        </w:rPr>
        <w:t>О нормативах расходов</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на обеспечение государственных</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гарантий реализации прав на получение</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общедоступного и бесплатного дошкольного</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образования в муниципальных дошкольных</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образовательных организациях,</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в муниципальных общеобразовательных</w:t>
      </w:r>
    </w:p>
    <w:p w:rsidR="00241897" w:rsidRPr="00241897" w:rsidRDefault="00241897" w:rsidP="00241897">
      <w:pPr>
        <w:autoSpaceDE w:val="0"/>
        <w:autoSpaceDN w:val="0"/>
        <w:adjustRightInd w:val="0"/>
        <w:spacing w:after="0" w:line="240" w:lineRule="auto"/>
        <w:ind w:firstLine="709"/>
        <w:jc w:val="right"/>
        <w:rPr>
          <w:rFonts w:ascii="Times New Roman" w:hAnsi="Times New Roman" w:cs="Times New Roman"/>
          <w:sz w:val="24"/>
          <w:szCs w:val="24"/>
        </w:rPr>
      </w:pPr>
      <w:r w:rsidRPr="00241897">
        <w:rPr>
          <w:rFonts w:ascii="Times New Roman" w:hAnsi="Times New Roman" w:cs="Times New Roman"/>
          <w:sz w:val="24"/>
          <w:szCs w:val="24"/>
        </w:rPr>
        <w:t>организациях в Республике Мордовия</w:t>
      </w:r>
      <w:r>
        <w:rPr>
          <w:rFonts w:ascii="Times New Roman" w:hAnsi="Times New Roman" w:cs="Times New Roman"/>
          <w:sz w:val="24"/>
          <w:szCs w:val="24"/>
        </w:rPr>
        <w:t>»</w:t>
      </w:r>
    </w:p>
    <w:p w:rsidR="00241897" w:rsidRPr="00241897" w:rsidRDefault="00241897" w:rsidP="00241897">
      <w:pPr>
        <w:autoSpaceDE w:val="0"/>
        <w:autoSpaceDN w:val="0"/>
        <w:adjustRightInd w:val="0"/>
        <w:spacing w:after="0" w:line="240" w:lineRule="auto"/>
        <w:ind w:firstLine="709"/>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bookmarkStart w:id="1" w:name="Par82"/>
      <w:bookmarkEnd w:id="1"/>
      <w:r w:rsidRPr="00241897">
        <w:rPr>
          <w:rFonts w:ascii="Times New Roman" w:hAnsi="Times New Roman" w:cs="Times New Roman"/>
          <w:b/>
          <w:bCs/>
          <w:sz w:val="24"/>
          <w:szCs w:val="24"/>
        </w:rPr>
        <w:t>ПОРЯДОК</w:t>
      </w:r>
    </w:p>
    <w:p w:rsid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r w:rsidRPr="00241897">
        <w:rPr>
          <w:rFonts w:ascii="Times New Roman" w:hAnsi="Times New Roman" w:cs="Times New Roman"/>
          <w:b/>
          <w:bCs/>
          <w:sz w:val="24"/>
          <w:szCs w:val="24"/>
        </w:rPr>
        <w:t>ОПРЕДЕЛЕНИЯ ОБЩЕГО ОБЪЕМА СУБВЕНЦИЙ, ПРЕДОСТАВЛЯЕМЫХ МЕСТНЫМ</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БЮДЖЕТАМ ИЗ РЕСПУБЛИКАНСКОГО БЮДЖЕТА РЕСПУБЛИКИ МОРДОВИЯ</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ДЛЯ ОСУЩЕСТВЛЕНИЯ ГОСУДАРСТВЕННЫХ ПОЛНОМОЧИЙ ПО ОБЕСПЕЧЕНИЮ</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ГОСУДАРСТВЕННЫХ ГАРАНТИЙ РЕАЛИЗАЦИИ ПРАВ НА ПОЛУЧЕНИЕ</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ОБЩЕДОСТУПНОГО И БЕСПЛАТНОГО ДОШКОЛЬНОГО ОБРАЗОВАНИЯ</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В МУНИЦИПАЛЬНЫХ ДОШКОЛЬНЫХ ОБРАЗОВАТЕЛЬНЫХ ОРГАНИЗАЦИЯХ,</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В МУНИЦИПАЛЬНЫХ ОБЩЕОБРАЗОВАТЕЛЬНЫХ ОРГАНИЗАЦИЯХ</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В РЕСПУБЛИКЕ МОРДОВИЯ, МЕТОДИКА РАСЧЕТА НОРМАТИВА</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ДЛЯ ОПРЕДЕЛЕНИЯ ОБЩЕГО ОБЪЕМА УКАЗАННЫХ СУБВЕНЦИЙ,</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ПОКАЗАТЕЛИ (КРИТЕРИИ) И МЕТОДИКА РАСПРЕДЕЛЕНИЯ</w:t>
      </w:r>
      <w:r>
        <w:rPr>
          <w:rFonts w:ascii="Times New Roman" w:hAnsi="Times New Roman" w:cs="Times New Roman"/>
          <w:b/>
          <w:bCs/>
          <w:sz w:val="24"/>
          <w:szCs w:val="24"/>
        </w:rPr>
        <w:t xml:space="preserve"> </w:t>
      </w:r>
      <w:r w:rsidRPr="00241897">
        <w:rPr>
          <w:rFonts w:ascii="Times New Roman" w:hAnsi="Times New Roman" w:cs="Times New Roman"/>
          <w:b/>
          <w:bCs/>
          <w:sz w:val="24"/>
          <w:szCs w:val="24"/>
        </w:rPr>
        <w:t>МЕЖДУ МУНИЦИПАЛЬНЫМИ ОБРАЗОВАНИЯМИ ОБЩЕГО ОБЪЕМА СУБВЕНЦИЙ</w:t>
      </w:r>
    </w:p>
    <w:p w:rsidR="00241897" w:rsidRPr="00241897" w:rsidRDefault="00241897" w:rsidP="0024189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41897">
        <w:rPr>
          <w:rFonts w:ascii="Times New Roman" w:eastAsia="Times New Roman" w:hAnsi="Times New Roman" w:cs="Times New Roman"/>
          <w:sz w:val="24"/>
          <w:szCs w:val="24"/>
          <w:lang w:eastAsia="ru-RU"/>
        </w:rPr>
        <w:t xml:space="preserve">(в ред. </w:t>
      </w:r>
      <w:hyperlink r:id="rId5" w:history="1">
        <w:r w:rsidRPr="00241897">
          <w:rPr>
            <w:rFonts w:ascii="Times New Roman" w:eastAsia="Times New Roman" w:hAnsi="Times New Roman" w:cs="Times New Roman"/>
            <w:sz w:val="24"/>
            <w:szCs w:val="24"/>
            <w:lang w:eastAsia="ru-RU"/>
          </w:rPr>
          <w:t>Закона</w:t>
        </w:r>
      </w:hyperlink>
      <w:r>
        <w:rPr>
          <w:rFonts w:ascii="Times New Roman" w:eastAsia="Times New Roman" w:hAnsi="Times New Roman" w:cs="Times New Roman"/>
          <w:sz w:val="24"/>
          <w:szCs w:val="24"/>
          <w:lang w:eastAsia="ru-RU"/>
        </w:rPr>
        <w:t xml:space="preserve"> РМ от 22</w:t>
      </w:r>
      <w:r w:rsidRPr="0024189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07</w:t>
      </w:r>
      <w:r w:rsidRPr="0024189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241897">
        <w:rPr>
          <w:rFonts w:ascii="Times New Roman" w:eastAsia="Times New Roman" w:hAnsi="Times New Roman" w:cs="Times New Roman"/>
          <w:sz w:val="24"/>
          <w:szCs w:val="24"/>
          <w:lang w:eastAsia="ru-RU"/>
        </w:rPr>
        <w:t xml:space="preserve"> г.</w:t>
      </w:r>
      <w:r>
        <w:rPr>
          <w:rFonts w:ascii="Times New Roman" w:eastAsia="Times New Roman" w:hAnsi="Times New Roman" w:cs="Times New Roman"/>
          <w:sz w:val="24"/>
          <w:szCs w:val="24"/>
          <w:lang w:eastAsia="ru-RU"/>
        </w:rPr>
        <w:t xml:space="preserve"> </w:t>
      </w:r>
      <w:r w:rsidRPr="0024189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49</w:t>
      </w:r>
      <w:r w:rsidRPr="00241897">
        <w:rPr>
          <w:rFonts w:ascii="Times New Roman" w:eastAsia="Times New Roman" w:hAnsi="Times New Roman" w:cs="Times New Roman"/>
          <w:sz w:val="24"/>
          <w:szCs w:val="24"/>
          <w:lang w:eastAsia="ru-RU"/>
        </w:rPr>
        <w:t>-З)</w:t>
      </w:r>
    </w:p>
    <w:p w:rsidR="00241897" w:rsidRPr="00241897" w:rsidRDefault="00241897" w:rsidP="00241897">
      <w:pPr>
        <w:autoSpaceDE w:val="0"/>
        <w:autoSpaceDN w:val="0"/>
        <w:adjustRightInd w:val="0"/>
        <w:spacing w:after="0" w:line="240" w:lineRule="auto"/>
        <w:jc w:val="center"/>
        <w:rPr>
          <w:rFonts w:ascii="Times New Roman" w:hAnsi="Times New Roman" w:cs="Times New Roman"/>
          <w:b/>
          <w:bCs/>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 Общий объем субвенций, предоставляемых местным бюджетам из республиканского бюджета Республики Мордовия для осуществления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 Республике Мордовия (далее - субвенция), определяется по следующей формуле: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center"/>
        <w:rPr>
          <w:rFonts w:ascii="Times New Roman" w:hAnsi="Times New Roman" w:cs="Times New Roman"/>
          <w:sz w:val="24"/>
          <w:szCs w:val="24"/>
        </w:rPr>
      </w:pPr>
      <w:r w:rsidRPr="00241897">
        <w:rPr>
          <w:rFonts w:ascii="Times New Roman" w:hAnsi="Times New Roman" w:cs="Times New Roman"/>
          <w:noProof/>
          <w:position w:val="-11"/>
          <w:sz w:val="24"/>
          <w:szCs w:val="24"/>
          <w:lang w:eastAsia="ru-RU"/>
        </w:rPr>
        <w:drawing>
          <wp:inline distT="0" distB="0" distL="0" distR="0" wp14:anchorId="5C2B1D66" wp14:editId="7D13B987">
            <wp:extent cx="1009650" cy="304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9650" cy="304800"/>
                    </a:xfrm>
                    <a:prstGeom prst="rect">
                      <a:avLst/>
                    </a:prstGeom>
                    <a:noFill/>
                    <a:ln>
                      <a:noFill/>
                    </a:ln>
                  </pic:spPr>
                </pic:pic>
              </a:graphicData>
            </a:graphic>
          </wp:inline>
        </w:drawing>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S - общий объем субвенций местным бюджетам;</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S</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xml:space="preserve"> - объем субвенции бюджету i-</w:t>
      </w:r>
      <w:proofErr w:type="spellStart"/>
      <w:r w:rsidRPr="00241897">
        <w:rPr>
          <w:rFonts w:ascii="Times New Roman" w:hAnsi="Times New Roman" w:cs="Times New Roman"/>
          <w:sz w:val="24"/>
          <w:szCs w:val="24"/>
        </w:rPr>
        <w:t>го</w:t>
      </w:r>
      <w:proofErr w:type="spellEnd"/>
      <w:r w:rsidRPr="00241897">
        <w:rPr>
          <w:rFonts w:ascii="Times New Roman" w:hAnsi="Times New Roman" w:cs="Times New Roman"/>
          <w:sz w:val="24"/>
          <w:szCs w:val="24"/>
        </w:rPr>
        <w:t xml:space="preserve"> муниципального образования.</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Показателем (критерием) распределения общего объема субвенций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 Республике Мордовия является прогнозируемая на очередной финансовый год и плановый период среднегодовая численность воспитанников в муниципальных дошкольных образовательных организациях, в муниципальных общеобразовательных организациях, определяемая на основании данных муниципальных органов, осуществляющих управление в сфере образования, на 1 января каждого года планового периода.</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2. Объем субвенции бюджету i-</w:t>
      </w:r>
      <w:proofErr w:type="spellStart"/>
      <w:r w:rsidRPr="00241897">
        <w:rPr>
          <w:rFonts w:ascii="Times New Roman" w:hAnsi="Times New Roman" w:cs="Times New Roman"/>
          <w:sz w:val="24"/>
          <w:szCs w:val="24"/>
        </w:rPr>
        <w:t>го</w:t>
      </w:r>
      <w:proofErr w:type="spellEnd"/>
      <w:r w:rsidRPr="00241897">
        <w:rPr>
          <w:rFonts w:ascii="Times New Roman" w:hAnsi="Times New Roman" w:cs="Times New Roman"/>
          <w:sz w:val="24"/>
          <w:szCs w:val="24"/>
        </w:rPr>
        <w:t xml:space="preserve"> муниципального образования (</w:t>
      </w:r>
      <w:proofErr w:type="spellStart"/>
      <w:r w:rsidRPr="00241897">
        <w:rPr>
          <w:rFonts w:ascii="Times New Roman" w:hAnsi="Times New Roman" w:cs="Times New Roman"/>
          <w:sz w:val="24"/>
          <w:szCs w:val="24"/>
        </w:rPr>
        <w:t>S</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определяется по формуле: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center"/>
        <w:rPr>
          <w:rFonts w:ascii="Times New Roman" w:hAnsi="Times New Roman" w:cs="Times New Roman"/>
          <w:sz w:val="24"/>
          <w:szCs w:val="24"/>
        </w:rPr>
      </w:pPr>
      <w:proofErr w:type="spellStart"/>
      <w:r w:rsidRPr="00241897">
        <w:rPr>
          <w:rFonts w:ascii="Times New Roman" w:hAnsi="Times New Roman" w:cs="Times New Roman"/>
          <w:sz w:val="24"/>
          <w:szCs w:val="24"/>
        </w:rPr>
        <w:t>S</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xml:space="preserve"> = </w:t>
      </w:r>
      <w:proofErr w:type="spellStart"/>
      <w:r w:rsidRPr="00241897">
        <w:rPr>
          <w:rFonts w:ascii="Times New Roman" w:hAnsi="Times New Roman" w:cs="Times New Roman"/>
          <w:sz w:val="24"/>
          <w:szCs w:val="24"/>
        </w:rPr>
        <w:t>F</w:t>
      </w:r>
      <w:r w:rsidRPr="00241897">
        <w:rPr>
          <w:rFonts w:ascii="Times New Roman" w:hAnsi="Times New Roman" w:cs="Times New Roman"/>
          <w:sz w:val="24"/>
          <w:szCs w:val="24"/>
          <w:vertAlign w:val="subscript"/>
        </w:rPr>
        <w:t>n</w:t>
      </w:r>
      <w:proofErr w:type="spellEnd"/>
      <w:r w:rsidRPr="00241897">
        <w:rPr>
          <w:rFonts w:ascii="Times New Roman" w:hAnsi="Times New Roman" w:cs="Times New Roman"/>
          <w:sz w:val="24"/>
          <w:szCs w:val="24"/>
        </w:rPr>
        <w:t xml:space="preserve"> + H</w:t>
      </w:r>
      <w:r w:rsidRPr="00241897">
        <w:rPr>
          <w:rFonts w:ascii="Times New Roman" w:hAnsi="Times New Roman" w:cs="Times New Roman"/>
          <w:sz w:val="24"/>
          <w:szCs w:val="24"/>
          <w:vertAlign w:val="subscript"/>
        </w:rPr>
        <w:t>M</w:t>
      </w:r>
      <w:r w:rsidRPr="00241897">
        <w:rPr>
          <w:rFonts w:ascii="Times New Roman" w:hAnsi="Times New Roman" w:cs="Times New Roman"/>
          <w:sz w:val="24"/>
          <w:szCs w:val="24"/>
        </w:rPr>
        <w:t>, где: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lastRenderedPageBreak/>
        <w:t>F</w:t>
      </w:r>
      <w:r w:rsidRPr="00241897">
        <w:rPr>
          <w:rFonts w:ascii="Times New Roman" w:hAnsi="Times New Roman" w:cs="Times New Roman"/>
          <w:sz w:val="24"/>
          <w:szCs w:val="24"/>
          <w:vertAlign w:val="subscript"/>
        </w:rPr>
        <w:t>n</w:t>
      </w:r>
      <w:proofErr w:type="spellEnd"/>
      <w:r w:rsidRPr="00241897">
        <w:rPr>
          <w:rFonts w:ascii="Times New Roman" w:hAnsi="Times New Roman" w:cs="Times New Roman"/>
          <w:sz w:val="24"/>
          <w:szCs w:val="24"/>
        </w:rPr>
        <w:t xml:space="preserve"> - объем средств, рассчитанный по нормативам расходов на обеспечение государственных гарантий реализации прав на получение общедоступного и бесплатного дошкольного образования;</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H</w:t>
      </w:r>
      <w:r w:rsidRPr="00241897">
        <w:rPr>
          <w:rFonts w:ascii="Times New Roman" w:hAnsi="Times New Roman" w:cs="Times New Roman"/>
          <w:sz w:val="24"/>
          <w:szCs w:val="24"/>
          <w:vertAlign w:val="subscript"/>
        </w:rPr>
        <w:t>M</w:t>
      </w:r>
      <w:r w:rsidRPr="00241897">
        <w:rPr>
          <w:rFonts w:ascii="Times New Roman" w:hAnsi="Times New Roman" w:cs="Times New Roman"/>
          <w:sz w:val="24"/>
          <w:szCs w:val="24"/>
        </w:rPr>
        <w:t xml:space="preserve"> - объем средств на обеспечение малокомплектных дошкольных образовательных организаций, рассчитываемый вне зависимости от численности воспитанников и определяемый с учетом фактических расходов на осуществление деятельности дошкольных образовательных организаций (за исключением расходов на содержание зданий и оплату коммунальных услуг).</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 xml:space="preserve">Показатель </w:t>
      </w:r>
      <w:proofErr w:type="spellStart"/>
      <w:r w:rsidRPr="00241897">
        <w:rPr>
          <w:rFonts w:ascii="Times New Roman" w:hAnsi="Times New Roman" w:cs="Times New Roman"/>
          <w:sz w:val="24"/>
          <w:szCs w:val="24"/>
        </w:rPr>
        <w:t>F</w:t>
      </w:r>
      <w:r w:rsidRPr="00241897">
        <w:rPr>
          <w:rFonts w:ascii="Times New Roman" w:hAnsi="Times New Roman" w:cs="Times New Roman"/>
          <w:sz w:val="24"/>
          <w:szCs w:val="24"/>
          <w:vertAlign w:val="subscript"/>
        </w:rPr>
        <w:t>n</w:t>
      </w:r>
      <w:proofErr w:type="spellEnd"/>
      <w:r w:rsidRPr="00241897">
        <w:rPr>
          <w:rFonts w:ascii="Times New Roman" w:hAnsi="Times New Roman" w:cs="Times New Roman"/>
          <w:sz w:val="24"/>
          <w:szCs w:val="24"/>
        </w:rPr>
        <w:t xml:space="preserve"> определяется по формуле: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center"/>
        <w:rPr>
          <w:rFonts w:ascii="Times New Roman" w:hAnsi="Times New Roman" w:cs="Times New Roman"/>
          <w:sz w:val="24"/>
          <w:szCs w:val="24"/>
        </w:rPr>
      </w:pPr>
      <w:r w:rsidRPr="00241897">
        <w:rPr>
          <w:rFonts w:ascii="Times New Roman" w:hAnsi="Times New Roman" w:cs="Times New Roman"/>
          <w:noProof/>
          <w:position w:val="-11"/>
          <w:sz w:val="24"/>
          <w:szCs w:val="24"/>
          <w:lang w:eastAsia="ru-RU"/>
        </w:rPr>
        <w:drawing>
          <wp:inline distT="0" distB="0" distL="0" distR="0" wp14:anchorId="78C16A53" wp14:editId="2F18DCC7">
            <wp:extent cx="17621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2125" cy="304800"/>
                    </a:xfrm>
                    <a:prstGeom prst="rect">
                      <a:avLst/>
                    </a:prstGeom>
                    <a:noFill/>
                    <a:ln>
                      <a:noFill/>
                    </a:ln>
                  </pic:spPr>
                </pic:pic>
              </a:graphicData>
            </a:graphic>
          </wp:inline>
        </w:drawing>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Ri</w:t>
      </w:r>
      <w:proofErr w:type="spellEnd"/>
      <w:r w:rsidRPr="00241897">
        <w:rPr>
          <w:rFonts w:ascii="Times New Roman" w:hAnsi="Times New Roman" w:cs="Times New Roman"/>
          <w:sz w:val="24"/>
          <w:szCs w:val="24"/>
        </w:rPr>
        <w:t xml:space="preserve"> - норматив расходов на обеспечение государственных гарантий реализации прав на получение общедоступного и бесплатного дошкольного образования по видам групп в муниципальных дошкольных образовательных организациях, в муниципальных общеобразовательных организациях, расположенных в городской и сельской местности (далее - по видам групп), в расчете на одного воспитанника;</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H</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xml:space="preserve"> - прогнозируемая на очередной финансовый год и плановый период среднегодовая численность воспитанников по видам групп;</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 2, ... - виды групп в зависимости от возраста воспитанников, включая разновозрастные группы, и направленности (общеразвивающей, оздоровительной, комбинированной, компенсирующей), режима работы образовательной организации, продолжительности пребывания детей в группе, типа местности, в которой расположена образовательная организация.</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3. Норматив расходов (</w:t>
      </w:r>
      <w:proofErr w:type="spellStart"/>
      <w:r w:rsidRPr="00241897">
        <w:rPr>
          <w:rFonts w:ascii="Times New Roman" w:hAnsi="Times New Roman" w:cs="Times New Roman"/>
          <w:sz w:val="24"/>
          <w:szCs w:val="24"/>
        </w:rPr>
        <w:t>R</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муниципальных общеобразовательных организациях определяется по формуле: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center"/>
        <w:rPr>
          <w:rFonts w:ascii="Times New Roman" w:hAnsi="Times New Roman" w:cs="Times New Roman"/>
          <w:sz w:val="24"/>
          <w:szCs w:val="24"/>
        </w:rPr>
      </w:pPr>
      <w:proofErr w:type="spellStart"/>
      <w:r w:rsidRPr="00241897">
        <w:rPr>
          <w:rFonts w:ascii="Times New Roman" w:hAnsi="Times New Roman" w:cs="Times New Roman"/>
          <w:sz w:val="24"/>
          <w:szCs w:val="24"/>
        </w:rPr>
        <w:t>R</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xml:space="preserve"> = </w:t>
      </w:r>
      <w:proofErr w:type="spellStart"/>
      <w:r w:rsidRPr="00241897">
        <w:rPr>
          <w:rFonts w:ascii="Times New Roman" w:hAnsi="Times New Roman" w:cs="Times New Roman"/>
          <w:sz w:val="24"/>
          <w:szCs w:val="24"/>
        </w:rPr>
        <w:t>З</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xml:space="preserve"> + </w:t>
      </w:r>
      <w:proofErr w:type="spellStart"/>
      <w:r w:rsidRPr="00241897">
        <w:rPr>
          <w:rFonts w:ascii="Times New Roman" w:hAnsi="Times New Roman" w:cs="Times New Roman"/>
          <w:sz w:val="24"/>
          <w:szCs w:val="24"/>
        </w:rPr>
        <w:t>Р</w:t>
      </w:r>
      <w:r w:rsidRPr="00241897">
        <w:rPr>
          <w:rFonts w:ascii="Times New Roman" w:hAnsi="Times New Roman" w:cs="Times New Roman"/>
          <w:sz w:val="24"/>
          <w:szCs w:val="24"/>
          <w:vertAlign w:val="subscript"/>
        </w:rPr>
        <w:t>учебн</w:t>
      </w:r>
      <w:proofErr w:type="spellEnd"/>
      <w:r w:rsidRPr="00241897">
        <w:rPr>
          <w:rFonts w:ascii="Times New Roman" w:hAnsi="Times New Roman" w:cs="Times New Roman"/>
          <w:sz w:val="24"/>
          <w:szCs w:val="24"/>
        </w:rPr>
        <w:t>, где: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З</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xml:space="preserve"> - норматив расходов на оплату труда работников, реализующих программы дошкольного образования, в муниципальных дошкольных образовательных организациях, в муниципальных общеобразовательных организациях по видам групп на одного воспитанника в год;</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Р</w:t>
      </w:r>
      <w:r w:rsidRPr="00241897">
        <w:rPr>
          <w:rFonts w:ascii="Times New Roman" w:hAnsi="Times New Roman" w:cs="Times New Roman"/>
          <w:sz w:val="24"/>
          <w:szCs w:val="24"/>
          <w:vertAlign w:val="subscript"/>
        </w:rPr>
        <w:t>учебн</w:t>
      </w:r>
      <w:proofErr w:type="spellEnd"/>
      <w:r w:rsidRPr="00241897">
        <w:rPr>
          <w:rFonts w:ascii="Times New Roman" w:hAnsi="Times New Roman" w:cs="Times New Roman"/>
          <w:sz w:val="24"/>
          <w:szCs w:val="24"/>
        </w:rPr>
        <w:t xml:space="preserve"> - норматив расходов на обеспечение образовательного и воспитательного процесса (приобретение учебников и учебных пособий, средств обучения, игр, игрушек) по видам групп на одного воспитанника в год.</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3.1. Норматив расходов на оплату труда работников, реализующих программы дошкольного образования в муниципальных дошкольных образовательных организациях, в муниципальных общеобразовательных организациях в расчете на одного воспитанника (</w:t>
      </w:r>
      <w:proofErr w:type="spellStart"/>
      <w:r w:rsidRPr="00241897">
        <w:rPr>
          <w:rFonts w:ascii="Times New Roman" w:hAnsi="Times New Roman" w:cs="Times New Roman"/>
          <w:sz w:val="24"/>
          <w:szCs w:val="24"/>
        </w:rPr>
        <w:t>З</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состоит из:</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стандартной (базовой) стоимости педагогической услуги по числу часов работы воспитателя и помощника воспитателя;</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среднего оклада воспитателя;</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коэффициентов удорожания стоимости педагогической услуги;</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нормативного соотношения ставок заработной платы воспитателей и ставок административно-управленческого, прочего педагогического персонала, учебно-вспомогательного и младшего обслуживающего персонала;</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нормативного соотношения базовой и стимулирующей частей фонда оплаты труда.</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Нормативное соотношение ставок заработной платы воспитателей и ставок административно-управленческого, прочего педагогического персонала, учебно-</w:t>
      </w:r>
      <w:r w:rsidRPr="00241897">
        <w:rPr>
          <w:rFonts w:ascii="Times New Roman" w:hAnsi="Times New Roman" w:cs="Times New Roman"/>
          <w:sz w:val="24"/>
          <w:szCs w:val="24"/>
        </w:rPr>
        <w:lastRenderedPageBreak/>
        <w:t>вспомогательного и младшего обслуживающего персонала устанавливается в процентном отношении от общего фонда оплаты труда образовательной организации - 41 процент.</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Коэффициенты удорожания педагогической услуги учитывают повышенную стоимость образовательной услуги для воспитанников групп компенсирующего вида.</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Норматив расходов на оплату труда (</w:t>
      </w:r>
      <w:proofErr w:type="spellStart"/>
      <w:r w:rsidRPr="00241897">
        <w:rPr>
          <w:rFonts w:ascii="Times New Roman" w:hAnsi="Times New Roman" w:cs="Times New Roman"/>
          <w:sz w:val="24"/>
          <w:szCs w:val="24"/>
        </w:rPr>
        <w:t>З</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определяется по формуле: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center"/>
        <w:rPr>
          <w:rFonts w:ascii="Times New Roman" w:hAnsi="Times New Roman" w:cs="Times New Roman"/>
          <w:sz w:val="24"/>
          <w:szCs w:val="24"/>
        </w:rPr>
      </w:pPr>
      <w:r w:rsidRPr="00241897">
        <w:rPr>
          <w:rFonts w:ascii="Times New Roman" w:hAnsi="Times New Roman" w:cs="Times New Roman"/>
          <w:noProof/>
          <w:position w:val="-49"/>
          <w:sz w:val="24"/>
          <w:szCs w:val="24"/>
          <w:lang w:eastAsia="ru-RU"/>
        </w:rPr>
        <w:drawing>
          <wp:inline distT="0" distB="0" distL="0" distR="0" wp14:anchorId="67DA840D" wp14:editId="4508C4AF">
            <wp:extent cx="4914900" cy="781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0" cy="781050"/>
                    </a:xfrm>
                    <a:prstGeom prst="rect">
                      <a:avLst/>
                    </a:prstGeom>
                    <a:noFill/>
                    <a:ln>
                      <a:noFill/>
                    </a:ln>
                  </pic:spPr>
                </pic:pic>
              </a:graphicData>
            </a:graphic>
          </wp:inline>
        </w:drawing>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Ч</w:t>
      </w:r>
      <w:r w:rsidRPr="00241897">
        <w:rPr>
          <w:rFonts w:ascii="Times New Roman" w:hAnsi="Times New Roman" w:cs="Times New Roman"/>
          <w:sz w:val="24"/>
          <w:szCs w:val="24"/>
          <w:vertAlign w:val="subscript"/>
        </w:rPr>
        <w:t>1</w:t>
      </w:r>
      <w:r w:rsidRPr="00241897">
        <w:rPr>
          <w:rFonts w:ascii="Times New Roman" w:hAnsi="Times New Roman" w:cs="Times New Roman"/>
          <w:sz w:val="24"/>
          <w:szCs w:val="24"/>
        </w:rPr>
        <w:t xml:space="preserve"> - часы пребывания детей в группе в день (таблица 1);</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Д</w:t>
      </w:r>
      <w:r w:rsidRPr="00241897">
        <w:rPr>
          <w:rFonts w:ascii="Times New Roman" w:hAnsi="Times New Roman" w:cs="Times New Roman"/>
          <w:sz w:val="24"/>
          <w:szCs w:val="24"/>
          <w:vertAlign w:val="subscript"/>
        </w:rPr>
        <w:t>1</w:t>
      </w:r>
      <w:r w:rsidRPr="00241897">
        <w:rPr>
          <w:rFonts w:ascii="Times New Roman" w:hAnsi="Times New Roman" w:cs="Times New Roman"/>
          <w:sz w:val="24"/>
          <w:szCs w:val="24"/>
        </w:rPr>
        <w:t xml:space="preserve"> - дни работы муниципальной дошкольной образовательной организации, муниципальной общеобразовательной организации в неделю;</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Н</w:t>
      </w:r>
      <w:r w:rsidRPr="00241897">
        <w:rPr>
          <w:rFonts w:ascii="Times New Roman" w:hAnsi="Times New Roman" w:cs="Times New Roman"/>
          <w:sz w:val="24"/>
          <w:szCs w:val="24"/>
          <w:vertAlign w:val="subscript"/>
        </w:rPr>
        <w:t>восп</w:t>
      </w:r>
      <w:proofErr w:type="spellEnd"/>
      <w:r w:rsidRPr="00241897">
        <w:rPr>
          <w:rFonts w:ascii="Times New Roman" w:hAnsi="Times New Roman" w:cs="Times New Roman"/>
          <w:sz w:val="24"/>
          <w:szCs w:val="24"/>
        </w:rPr>
        <w:t xml:space="preserve"> - число часов на ставку воспитателя в неделю (таблица 2);</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C</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xml:space="preserve"> - гарантированный размер заработной платы воспитателя;</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M</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xml:space="preserve"> - наполняемость группы (таблица 3);</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1,02 - коэффициент увеличения фонда оплаты труда, связанного с повышением стажа педагогической работы, квалификационной категории;</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1,25 - коэффициент увеличения оплаты труда за работу в сельской местности;</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1,7 - коэффициент нормативного соотношения ставок заработной платы воспитателей и ставок административно-управленческого, прочего педагогического персонала, учебно-вспомогательного и младшего обслуживающего персонала;</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1,43 - коэффициент увеличения фонда оплаты труда муниципальной дошкольной образовательной организации, муниципальной общеобразовательной организации на величину стимулирующей части фонда оплаты труда дошкольной образовательной организации;</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1,044 - коэффициент на дополнительные расходы на оплату лиц, заменяющих уходящих в отпуск работников;</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c - коэффициенты удорожания для воспитанников в группах коррекционного развития (таблица 4);</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1,302 - коэффициент начислений на выплаты по оплате труда в соответствии с законодательством Российской Федерации;</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12 - количество месяцев в году.</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Гарантированный размер заработной платы воспитателя (C</w:t>
      </w:r>
      <w:r w:rsidRPr="00241897">
        <w:rPr>
          <w:rFonts w:ascii="Times New Roman" w:hAnsi="Times New Roman" w:cs="Times New Roman"/>
          <w:sz w:val="24"/>
          <w:szCs w:val="24"/>
          <w:vertAlign w:val="subscript"/>
        </w:rPr>
        <w:t>1</w:t>
      </w:r>
      <w:r w:rsidRPr="00241897">
        <w:rPr>
          <w:rFonts w:ascii="Times New Roman" w:hAnsi="Times New Roman" w:cs="Times New Roman"/>
          <w:sz w:val="24"/>
          <w:szCs w:val="24"/>
        </w:rPr>
        <w:t>) включает в себя базовый оклад, повышающие коэффициенты к базовому окладу по занимаемой должности, за почетные звания, за ученую степень доктора наук и кандидата наук, персональные повышающие коэффициенты, компенсационные выплаты и определяется по следующей формуле: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C</w:t>
      </w:r>
      <w:r w:rsidRPr="00241897">
        <w:rPr>
          <w:rFonts w:ascii="Times New Roman" w:hAnsi="Times New Roman" w:cs="Times New Roman"/>
          <w:sz w:val="24"/>
          <w:szCs w:val="24"/>
          <w:vertAlign w:val="subscript"/>
        </w:rPr>
        <w:t>1</w:t>
      </w:r>
      <w:r w:rsidRPr="00241897">
        <w:rPr>
          <w:rFonts w:ascii="Times New Roman" w:hAnsi="Times New Roman" w:cs="Times New Roman"/>
          <w:sz w:val="24"/>
          <w:szCs w:val="24"/>
        </w:rPr>
        <w:t xml:space="preserve"> = (</w:t>
      </w:r>
      <w:proofErr w:type="spellStart"/>
      <w:r w:rsidRPr="00241897">
        <w:rPr>
          <w:rFonts w:ascii="Times New Roman" w:hAnsi="Times New Roman" w:cs="Times New Roman"/>
          <w:sz w:val="24"/>
          <w:szCs w:val="24"/>
        </w:rPr>
        <w:t>ФОТ</w:t>
      </w:r>
      <w:r w:rsidRPr="00241897">
        <w:rPr>
          <w:rFonts w:ascii="Times New Roman" w:hAnsi="Times New Roman" w:cs="Times New Roman"/>
          <w:sz w:val="24"/>
          <w:szCs w:val="24"/>
          <w:vertAlign w:val="subscript"/>
        </w:rPr>
        <w:t>тч</w:t>
      </w:r>
      <w:proofErr w:type="spellEnd"/>
      <w:r w:rsidRPr="00241897">
        <w:rPr>
          <w:rFonts w:ascii="Times New Roman" w:hAnsi="Times New Roman" w:cs="Times New Roman"/>
          <w:sz w:val="24"/>
          <w:szCs w:val="24"/>
        </w:rPr>
        <w:t xml:space="preserve"> / </w:t>
      </w:r>
      <w:proofErr w:type="spellStart"/>
      <w:r w:rsidRPr="00241897">
        <w:rPr>
          <w:rFonts w:ascii="Times New Roman" w:hAnsi="Times New Roman" w:cs="Times New Roman"/>
          <w:sz w:val="24"/>
          <w:szCs w:val="24"/>
        </w:rPr>
        <w:t>N</w:t>
      </w:r>
      <w:r w:rsidRPr="00241897">
        <w:rPr>
          <w:rFonts w:ascii="Times New Roman" w:hAnsi="Times New Roman" w:cs="Times New Roman"/>
          <w:sz w:val="24"/>
          <w:szCs w:val="24"/>
          <w:vertAlign w:val="subscript"/>
        </w:rPr>
        <w:t>np</w:t>
      </w:r>
      <w:proofErr w:type="spellEnd"/>
      <w:r w:rsidRPr="00241897">
        <w:rPr>
          <w:rFonts w:ascii="Times New Roman" w:hAnsi="Times New Roman" w:cs="Times New Roman"/>
          <w:sz w:val="24"/>
          <w:szCs w:val="24"/>
        </w:rPr>
        <w:t xml:space="preserve">) / 12 x </w:t>
      </w:r>
      <w:proofErr w:type="spellStart"/>
      <w:r w:rsidRPr="00241897">
        <w:rPr>
          <w:rFonts w:ascii="Times New Roman" w:hAnsi="Times New Roman" w:cs="Times New Roman"/>
          <w:sz w:val="24"/>
          <w:szCs w:val="24"/>
        </w:rPr>
        <w:t>К</w:t>
      </w:r>
      <w:r w:rsidRPr="00241897">
        <w:rPr>
          <w:rFonts w:ascii="Times New Roman" w:hAnsi="Times New Roman" w:cs="Times New Roman"/>
          <w:sz w:val="24"/>
          <w:szCs w:val="24"/>
          <w:vertAlign w:val="subscript"/>
        </w:rPr>
        <w:t>пзп</w:t>
      </w:r>
      <w:proofErr w:type="spellEnd"/>
      <w:r w:rsidRPr="00241897">
        <w:rPr>
          <w:rFonts w:ascii="Times New Roman" w:hAnsi="Times New Roman" w:cs="Times New Roman"/>
          <w:sz w:val="24"/>
          <w:szCs w:val="24"/>
        </w:rPr>
        <w:t>, где: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ФОТ</w:t>
      </w:r>
      <w:r w:rsidRPr="00241897">
        <w:rPr>
          <w:rFonts w:ascii="Times New Roman" w:hAnsi="Times New Roman" w:cs="Times New Roman"/>
          <w:sz w:val="24"/>
          <w:szCs w:val="24"/>
          <w:vertAlign w:val="subscript"/>
        </w:rPr>
        <w:t>тч</w:t>
      </w:r>
      <w:proofErr w:type="spellEnd"/>
      <w:r w:rsidRPr="00241897">
        <w:rPr>
          <w:rFonts w:ascii="Times New Roman" w:hAnsi="Times New Roman" w:cs="Times New Roman"/>
          <w:sz w:val="24"/>
          <w:szCs w:val="24"/>
        </w:rPr>
        <w:t xml:space="preserve"> - тарифная часть фонда оплаты труда воспитателя в отчетном году (без начислений);</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N</w:t>
      </w:r>
      <w:r w:rsidRPr="00241897">
        <w:rPr>
          <w:rFonts w:ascii="Times New Roman" w:hAnsi="Times New Roman" w:cs="Times New Roman"/>
          <w:sz w:val="24"/>
          <w:szCs w:val="24"/>
          <w:vertAlign w:val="subscript"/>
        </w:rPr>
        <w:t>np</w:t>
      </w:r>
      <w:proofErr w:type="spellEnd"/>
      <w:r w:rsidRPr="00241897">
        <w:rPr>
          <w:rFonts w:ascii="Times New Roman" w:hAnsi="Times New Roman" w:cs="Times New Roman"/>
          <w:sz w:val="24"/>
          <w:szCs w:val="24"/>
        </w:rPr>
        <w:t xml:space="preserve"> - среднегодовая численность воспитателей в отчетном году;</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241897">
        <w:rPr>
          <w:rFonts w:ascii="Times New Roman" w:hAnsi="Times New Roman" w:cs="Times New Roman"/>
          <w:sz w:val="24"/>
          <w:szCs w:val="24"/>
        </w:rPr>
        <w:t>К</w:t>
      </w:r>
      <w:r w:rsidRPr="00241897">
        <w:rPr>
          <w:rFonts w:ascii="Times New Roman" w:hAnsi="Times New Roman" w:cs="Times New Roman"/>
          <w:sz w:val="24"/>
          <w:szCs w:val="24"/>
          <w:vertAlign w:val="subscript"/>
        </w:rPr>
        <w:t>пзп</w:t>
      </w:r>
      <w:proofErr w:type="spellEnd"/>
      <w:r w:rsidRPr="00241897">
        <w:rPr>
          <w:rFonts w:ascii="Times New Roman" w:hAnsi="Times New Roman" w:cs="Times New Roman"/>
          <w:sz w:val="24"/>
          <w:szCs w:val="24"/>
        </w:rPr>
        <w:t xml:space="preserve"> - коэффициент повышения заработной платы в планируемом году, обеспечивающий соответствие заработной платы решениям Президента Российской Федерации, Правительства Российской Федерации, Правительства Республики Мордовия.</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Тарифная часть фонда оплаты труда воспитателей включает в себя фонд оплаты труда воспитателей, начисленный с учетом:</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базовых окладов;</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lastRenderedPageBreak/>
        <w:t>повышающих коэффициентов по занимаемой должности, за почетные звания, за ученую степень доктора наук и кандидата наук, персональных повышающих коэффициентов;</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компенсационных выплат.</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3.2. Норматив расходов на обеспечение образовательного и воспитательного процесса (приобретение учебников и учебных пособий, средств обучения, игр, игрушек) (</w:t>
      </w:r>
      <w:proofErr w:type="spellStart"/>
      <w:r w:rsidRPr="00241897">
        <w:rPr>
          <w:rFonts w:ascii="Times New Roman" w:hAnsi="Times New Roman" w:cs="Times New Roman"/>
          <w:sz w:val="24"/>
          <w:szCs w:val="24"/>
        </w:rPr>
        <w:t>Р</w:t>
      </w:r>
      <w:r w:rsidRPr="00241897">
        <w:rPr>
          <w:rFonts w:ascii="Times New Roman" w:hAnsi="Times New Roman" w:cs="Times New Roman"/>
          <w:sz w:val="24"/>
          <w:szCs w:val="24"/>
          <w:vertAlign w:val="subscript"/>
        </w:rPr>
        <w:t>учебн</w:t>
      </w:r>
      <w:proofErr w:type="spellEnd"/>
      <w:r w:rsidRPr="00241897">
        <w:rPr>
          <w:rFonts w:ascii="Times New Roman" w:hAnsi="Times New Roman" w:cs="Times New Roman"/>
          <w:sz w:val="24"/>
          <w:szCs w:val="24"/>
        </w:rPr>
        <w:t>) определяется в равном объеме на каждого воспитанника в 2,5-процентном отношении к общему размеру норматива расходов по следующей формуле: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center"/>
        <w:rPr>
          <w:rFonts w:ascii="Times New Roman" w:hAnsi="Times New Roman" w:cs="Times New Roman"/>
          <w:sz w:val="24"/>
          <w:szCs w:val="24"/>
        </w:rPr>
      </w:pPr>
      <w:proofErr w:type="spellStart"/>
      <w:r w:rsidRPr="00241897">
        <w:rPr>
          <w:rFonts w:ascii="Times New Roman" w:hAnsi="Times New Roman" w:cs="Times New Roman"/>
          <w:sz w:val="24"/>
          <w:szCs w:val="24"/>
        </w:rPr>
        <w:t>Р</w:t>
      </w:r>
      <w:r w:rsidRPr="00241897">
        <w:rPr>
          <w:rFonts w:ascii="Times New Roman" w:hAnsi="Times New Roman" w:cs="Times New Roman"/>
          <w:sz w:val="24"/>
          <w:szCs w:val="24"/>
          <w:vertAlign w:val="subscript"/>
        </w:rPr>
        <w:t>учебн</w:t>
      </w:r>
      <w:proofErr w:type="spellEnd"/>
      <w:r w:rsidRPr="00241897">
        <w:rPr>
          <w:rFonts w:ascii="Times New Roman" w:hAnsi="Times New Roman" w:cs="Times New Roman"/>
          <w:sz w:val="24"/>
          <w:szCs w:val="24"/>
        </w:rPr>
        <w:t xml:space="preserve"> - </w:t>
      </w:r>
      <w:proofErr w:type="spellStart"/>
      <w:r w:rsidRPr="00241897">
        <w:rPr>
          <w:rFonts w:ascii="Times New Roman" w:hAnsi="Times New Roman" w:cs="Times New Roman"/>
          <w:sz w:val="24"/>
          <w:szCs w:val="24"/>
        </w:rPr>
        <w:t>З</w:t>
      </w:r>
      <w:r w:rsidRPr="00241897">
        <w:rPr>
          <w:rFonts w:ascii="Times New Roman" w:hAnsi="Times New Roman" w:cs="Times New Roman"/>
          <w:sz w:val="24"/>
          <w:szCs w:val="24"/>
          <w:vertAlign w:val="subscript"/>
        </w:rPr>
        <w:t>i</w:t>
      </w:r>
      <w:proofErr w:type="spellEnd"/>
      <w:r w:rsidRPr="00241897">
        <w:rPr>
          <w:rFonts w:ascii="Times New Roman" w:hAnsi="Times New Roman" w:cs="Times New Roman"/>
          <w:sz w:val="24"/>
          <w:szCs w:val="24"/>
        </w:rPr>
        <w:t xml:space="preserve"> x 0,0256, где:</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0,0256 - коэффициент для определения расходов на обеспечение образовательного и воспитательного процесса в 2,5-процентном отношении к общему размеру норматива расходов.</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r w:rsidRPr="00241897">
        <w:rPr>
          <w:rFonts w:ascii="Times New Roman" w:hAnsi="Times New Roman" w:cs="Times New Roman"/>
          <w:sz w:val="24"/>
          <w:szCs w:val="24"/>
        </w:rPr>
        <w:t>4. Объем средств на обеспечение малокомплектных дошкольных образовательных организаций (H</w:t>
      </w:r>
      <w:r w:rsidRPr="00241897">
        <w:rPr>
          <w:rFonts w:ascii="Times New Roman" w:hAnsi="Times New Roman" w:cs="Times New Roman"/>
          <w:sz w:val="24"/>
          <w:szCs w:val="24"/>
          <w:vertAlign w:val="subscript"/>
        </w:rPr>
        <w:t>M</w:t>
      </w:r>
      <w:r w:rsidRPr="00241897">
        <w:rPr>
          <w:rFonts w:ascii="Times New Roman" w:hAnsi="Times New Roman" w:cs="Times New Roman"/>
          <w:sz w:val="24"/>
          <w:szCs w:val="24"/>
        </w:rPr>
        <w:t>) рассчитывается вне зависимости от численности воспитанников и определяется с учетом фактических расходов на осуществление деятельности дошкольных образовательных организаций (за исключением расходов на содержание зданий и оплату коммунальных услуг).</w:t>
      </w:r>
    </w:p>
    <w:p w:rsidR="00241897" w:rsidRPr="00241897" w:rsidRDefault="00241897" w:rsidP="00241897">
      <w:pPr>
        <w:autoSpaceDE w:val="0"/>
        <w:autoSpaceDN w:val="0"/>
        <w:adjustRightInd w:val="0"/>
        <w:spacing w:after="0" w:line="240" w:lineRule="auto"/>
        <w:ind w:firstLine="709"/>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jc w:val="center"/>
        <w:outlineLvl w:val="1"/>
        <w:rPr>
          <w:rFonts w:ascii="Times New Roman" w:hAnsi="Times New Roman" w:cs="Times New Roman"/>
          <w:b/>
          <w:bCs/>
          <w:sz w:val="24"/>
          <w:szCs w:val="24"/>
        </w:rPr>
      </w:pPr>
      <w:bookmarkStart w:id="2" w:name="Par166"/>
      <w:bookmarkEnd w:id="2"/>
      <w:r w:rsidRPr="00241897">
        <w:rPr>
          <w:rFonts w:ascii="Times New Roman" w:hAnsi="Times New Roman" w:cs="Times New Roman"/>
          <w:b/>
          <w:bCs/>
          <w:sz w:val="24"/>
          <w:szCs w:val="24"/>
        </w:rPr>
        <w:t>Таблица 1. Часы пребывания детей в группе в день</w:t>
      </w:r>
    </w:p>
    <w:p w:rsidR="00241897" w:rsidRPr="00241897" w:rsidRDefault="00241897" w:rsidP="00241897">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73"/>
        <w:gridCol w:w="2063"/>
        <w:gridCol w:w="2063"/>
        <w:gridCol w:w="2457"/>
      </w:tblGrid>
      <w:tr w:rsidR="00241897" w:rsidRPr="00241897" w:rsidTr="00241897">
        <w:tc>
          <w:tcPr>
            <w:tcW w:w="277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Возраст детей</w:t>
            </w:r>
          </w:p>
        </w:tc>
        <w:tc>
          <w:tcPr>
            <w:tcW w:w="6583" w:type="dxa"/>
            <w:gridSpan w:val="3"/>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Часы пребывания детей в группе в день</w:t>
            </w:r>
          </w:p>
        </w:tc>
      </w:tr>
      <w:tr w:rsidR="00241897" w:rsidRPr="00241897" w:rsidTr="00241897">
        <w:tc>
          <w:tcPr>
            <w:tcW w:w="277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от 1 года до 3 лет</w:t>
            </w:r>
          </w:p>
        </w:tc>
        <w:tc>
          <w:tcPr>
            <w:tcW w:w="206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9 часов</w:t>
            </w:r>
          </w:p>
        </w:tc>
        <w:tc>
          <w:tcPr>
            <w:tcW w:w="206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10,5 часов</w:t>
            </w:r>
          </w:p>
        </w:tc>
        <w:tc>
          <w:tcPr>
            <w:tcW w:w="2457"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12 часов</w:t>
            </w:r>
          </w:p>
        </w:tc>
      </w:tr>
      <w:tr w:rsidR="00241897" w:rsidRPr="00241897" w:rsidTr="00241897">
        <w:tc>
          <w:tcPr>
            <w:tcW w:w="277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от 3 до 7 лет</w:t>
            </w:r>
          </w:p>
        </w:tc>
        <w:tc>
          <w:tcPr>
            <w:tcW w:w="206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9 часов</w:t>
            </w:r>
          </w:p>
        </w:tc>
        <w:tc>
          <w:tcPr>
            <w:tcW w:w="206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10,5 часов</w:t>
            </w:r>
          </w:p>
        </w:tc>
        <w:tc>
          <w:tcPr>
            <w:tcW w:w="2457"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12 часов</w:t>
            </w:r>
          </w:p>
        </w:tc>
      </w:tr>
    </w:tbl>
    <w:p w:rsidR="00241897" w:rsidRPr="00241897" w:rsidRDefault="00241897" w:rsidP="00241897">
      <w:pPr>
        <w:autoSpaceDE w:val="0"/>
        <w:autoSpaceDN w:val="0"/>
        <w:adjustRightInd w:val="0"/>
        <w:spacing w:after="0" w:line="240" w:lineRule="auto"/>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jc w:val="center"/>
        <w:outlineLvl w:val="1"/>
        <w:rPr>
          <w:rFonts w:ascii="Times New Roman" w:hAnsi="Times New Roman" w:cs="Times New Roman"/>
          <w:b/>
          <w:bCs/>
          <w:sz w:val="24"/>
          <w:szCs w:val="24"/>
        </w:rPr>
      </w:pPr>
      <w:bookmarkStart w:id="3" w:name="Par179"/>
      <w:bookmarkEnd w:id="3"/>
      <w:r w:rsidRPr="00241897">
        <w:rPr>
          <w:rFonts w:ascii="Times New Roman" w:hAnsi="Times New Roman" w:cs="Times New Roman"/>
          <w:b/>
          <w:bCs/>
          <w:sz w:val="24"/>
          <w:szCs w:val="24"/>
        </w:rPr>
        <w:t>Таблица 2. Число часов на ставку воспитателя в неделю</w:t>
      </w:r>
    </w:p>
    <w:p w:rsidR="00241897" w:rsidRPr="00241897" w:rsidRDefault="00241897" w:rsidP="00241897">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73"/>
        <w:gridCol w:w="2861"/>
        <w:gridCol w:w="3722"/>
      </w:tblGrid>
      <w:tr w:rsidR="00241897" w:rsidRPr="00241897" w:rsidTr="00241897">
        <w:tc>
          <w:tcPr>
            <w:tcW w:w="277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Возраст детей</w:t>
            </w:r>
          </w:p>
        </w:tc>
        <w:tc>
          <w:tcPr>
            <w:tcW w:w="2861"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Число часов на ставку воспитателя в неделю в группе общеразвивающей, оздоровительной и комбинированной направленности, разновозрастных группах</w:t>
            </w:r>
          </w:p>
        </w:tc>
        <w:tc>
          <w:tcPr>
            <w:tcW w:w="3722"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Число часов на ставку воспитателя в неделю в группе компенсирующей направленности</w:t>
            </w:r>
          </w:p>
        </w:tc>
      </w:tr>
      <w:tr w:rsidR="00241897" w:rsidRPr="00241897" w:rsidTr="00241897">
        <w:tc>
          <w:tcPr>
            <w:tcW w:w="277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от 1 года до 3 лет</w:t>
            </w:r>
          </w:p>
        </w:tc>
        <w:tc>
          <w:tcPr>
            <w:tcW w:w="2861"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36</w:t>
            </w:r>
          </w:p>
        </w:tc>
        <w:tc>
          <w:tcPr>
            <w:tcW w:w="3722"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25</w:t>
            </w:r>
          </w:p>
        </w:tc>
      </w:tr>
      <w:tr w:rsidR="00241897" w:rsidRPr="00241897" w:rsidTr="00241897">
        <w:tc>
          <w:tcPr>
            <w:tcW w:w="2773"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от 3 до 7 лет</w:t>
            </w:r>
          </w:p>
        </w:tc>
        <w:tc>
          <w:tcPr>
            <w:tcW w:w="2861"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36</w:t>
            </w:r>
          </w:p>
        </w:tc>
        <w:tc>
          <w:tcPr>
            <w:tcW w:w="3722"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25</w:t>
            </w:r>
          </w:p>
        </w:tc>
      </w:tr>
    </w:tbl>
    <w:p w:rsidR="00241897" w:rsidRPr="00241897" w:rsidRDefault="00241897" w:rsidP="00241897">
      <w:pPr>
        <w:autoSpaceDE w:val="0"/>
        <w:autoSpaceDN w:val="0"/>
        <w:adjustRightInd w:val="0"/>
        <w:spacing w:after="0" w:line="240" w:lineRule="auto"/>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jc w:val="center"/>
        <w:outlineLvl w:val="1"/>
        <w:rPr>
          <w:rFonts w:ascii="Times New Roman" w:hAnsi="Times New Roman" w:cs="Times New Roman"/>
          <w:b/>
          <w:bCs/>
          <w:sz w:val="24"/>
          <w:szCs w:val="24"/>
        </w:rPr>
      </w:pPr>
      <w:bookmarkStart w:id="4" w:name="Par191"/>
      <w:bookmarkEnd w:id="4"/>
      <w:r w:rsidRPr="00241897">
        <w:rPr>
          <w:rFonts w:ascii="Times New Roman" w:hAnsi="Times New Roman" w:cs="Times New Roman"/>
          <w:b/>
          <w:bCs/>
          <w:sz w:val="24"/>
          <w:szCs w:val="24"/>
        </w:rPr>
        <w:t>Таблица 3. Нормативная предельная наполняемость группы</w:t>
      </w:r>
    </w:p>
    <w:p w:rsidR="00241897" w:rsidRPr="00241897" w:rsidRDefault="00241897" w:rsidP="00241897">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12"/>
        <w:gridCol w:w="2381"/>
        <w:gridCol w:w="3578"/>
        <w:gridCol w:w="1985"/>
      </w:tblGrid>
      <w:tr w:rsidR="00241897" w:rsidRPr="00241897" w:rsidTr="00241897">
        <w:tc>
          <w:tcPr>
            <w:tcW w:w="1412"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Тип населенного пункта</w:t>
            </w:r>
          </w:p>
        </w:tc>
        <w:tc>
          <w:tcPr>
            <w:tcW w:w="2381"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Виды групп по направленности</w:t>
            </w:r>
          </w:p>
        </w:tc>
        <w:tc>
          <w:tcPr>
            <w:tcW w:w="3578"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Возраст детей, особенности психофизического развития и возможности воспитанников</w:t>
            </w:r>
          </w:p>
        </w:tc>
        <w:tc>
          <w:tcPr>
            <w:tcW w:w="1985"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Количество детей в группе, человек</w:t>
            </w:r>
          </w:p>
        </w:tc>
      </w:tr>
      <w:tr w:rsidR="00241897" w:rsidRPr="00241897" w:rsidTr="00241897">
        <w:tc>
          <w:tcPr>
            <w:tcW w:w="1412" w:type="dxa"/>
            <w:vMerge w:val="restart"/>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Городской, сельский</w:t>
            </w:r>
          </w:p>
        </w:tc>
        <w:tc>
          <w:tcPr>
            <w:tcW w:w="2381" w:type="dxa"/>
            <w:vMerge w:val="restart"/>
            <w:tcBorders>
              <w:top w:val="single" w:sz="4" w:space="0" w:color="auto"/>
              <w:left w:val="single" w:sz="4" w:space="0" w:color="auto"/>
              <w:bottom w:val="single" w:sz="4" w:space="0" w:color="auto"/>
              <w:right w:val="single" w:sz="4" w:space="0" w:color="auto"/>
            </w:tcBorders>
          </w:tcPr>
          <w:p w:rsid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группы общеразвивающей, оздоровительной и комбинированной направленности</w:t>
            </w:r>
          </w:p>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p>
        </w:tc>
        <w:tc>
          <w:tcPr>
            <w:tcW w:w="3578"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для детей в возрасте от 1 года до 3 лет</w:t>
            </w:r>
          </w:p>
        </w:tc>
        <w:tc>
          <w:tcPr>
            <w:tcW w:w="1985"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15</w:t>
            </w:r>
          </w:p>
        </w:tc>
      </w:tr>
      <w:tr w:rsidR="00241897" w:rsidRPr="00241897" w:rsidTr="00241897">
        <w:tc>
          <w:tcPr>
            <w:tcW w:w="1412" w:type="dxa"/>
            <w:vMerge/>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both"/>
              <w:rPr>
                <w:rFonts w:ascii="Times New Roman" w:hAnsi="Times New Roman" w:cs="Times New Roman"/>
                <w:sz w:val="20"/>
                <w:szCs w:val="24"/>
              </w:rPr>
            </w:pPr>
          </w:p>
        </w:tc>
        <w:tc>
          <w:tcPr>
            <w:tcW w:w="2381" w:type="dxa"/>
            <w:vMerge/>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both"/>
              <w:rPr>
                <w:rFonts w:ascii="Times New Roman" w:hAnsi="Times New Roman" w:cs="Times New Roman"/>
                <w:sz w:val="20"/>
                <w:szCs w:val="24"/>
              </w:rPr>
            </w:pPr>
          </w:p>
        </w:tc>
        <w:tc>
          <w:tcPr>
            <w:tcW w:w="3578"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для детей в возрасте от 3 до 7 лет</w:t>
            </w:r>
          </w:p>
        </w:tc>
        <w:tc>
          <w:tcPr>
            <w:tcW w:w="1985"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20</w:t>
            </w:r>
          </w:p>
        </w:tc>
      </w:tr>
      <w:tr w:rsidR="00241897" w:rsidRPr="00241897" w:rsidTr="00241897">
        <w:tc>
          <w:tcPr>
            <w:tcW w:w="1412" w:type="dxa"/>
            <w:vMerge w:val="restart"/>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lastRenderedPageBreak/>
              <w:t>Городской, сельский</w:t>
            </w:r>
          </w:p>
        </w:tc>
        <w:tc>
          <w:tcPr>
            <w:tcW w:w="2381" w:type="dxa"/>
            <w:vMerge w:val="restart"/>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разновозрастные группы общеразвивающей, оздоровительной и комбинированной направленности</w:t>
            </w:r>
          </w:p>
        </w:tc>
        <w:tc>
          <w:tcPr>
            <w:tcW w:w="3578"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для детей любых трех возрастов (от 3 до 7 лет)</w:t>
            </w:r>
          </w:p>
        </w:tc>
        <w:tc>
          <w:tcPr>
            <w:tcW w:w="1985"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10</w:t>
            </w:r>
          </w:p>
        </w:tc>
      </w:tr>
      <w:tr w:rsidR="00241897" w:rsidRPr="00241897" w:rsidTr="00241897">
        <w:tc>
          <w:tcPr>
            <w:tcW w:w="1412" w:type="dxa"/>
            <w:vMerge/>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both"/>
              <w:rPr>
                <w:rFonts w:ascii="Times New Roman" w:hAnsi="Times New Roman" w:cs="Times New Roman"/>
                <w:sz w:val="20"/>
                <w:szCs w:val="24"/>
              </w:rPr>
            </w:pPr>
          </w:p>
        </w:tc>
        <w:tc>
          <w:tcPr>
            <w:tcW w:w="2381" w:type="dxa"/>
            <w:vMerge/>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both"/>
              <w:rPr>
                <w:rFonts w:ascii="Times New Roman" w:hAnsi="Times New Roman" w:cs="Times New Roman"/>
                <w:sz w:val="20"/>
                <w:szCs w:val="24"/>
              </w:rPr>
            </w:pPr>
          </w:p>
        </w:tc>
        <w:tc>
          <w:tcPr>
            <w:tcW w:w="3578"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для детей любых двух возрастов (от 3 до 7 лет)</w:t>
            </w:r>
          </w:p>
        </w:tc>
        <w:tc>
          <w:tcPr>
            <w:tcW w:w="1985"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20</w:t>
            </w:r>
          </w:p>
        </w:tc>
      </w:tr>
      <w:tr w:rsidR="00241897" w:rsidRPr="00241897" w:rsidTr="00241897">
        <w:tc>
          <w:tcPr>
            <w:tcW w:w="1412" w:type="dxa"/>
            <w:vMerge w:val="restart"/>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Городской, сельский</w:t>
            </w:r>
          </w:p>
        </w:tc>
        <w:tc>
          <w:tcPr>
            <w:tcW w:w="2381" w:type="dxa"/>
            <w:vMerge w:val="restart"/>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группы компенсирующей, направленности</w:t>
            </w:r>
          </w:p>
        </w:tc>
        <w:tc>
          <w:tcPr>
            <w:tcW w:w="3578"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для детей в возрасте до 3 лет с тяжелыми нарушениями речи, с частичной потерей зрения (слабовидящие), с нарушением интеллекта (умственной отсталостью)</w:t>
            </w:r>
          </w:p>
        </w:tc>
        <w:tc>
          <w:tcPr>
            <w:tcW w:w="1985"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6</w:t>
            </w:r>
          </w:p>
        </w:tc>
      </w:tr>
      <w:tr w:rsidR="00241897" w:rsidRPr="00241897" w:rsidTr="00241897">
        <w:tc>
          <w:tcPr>
            <w:tcW w:w="1412" w:type="dxa"/>
            <w:vMerge/>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both"/>
              <w:rPr>
                <w:rFonts w:ascii="Times New Roman" w:hAnsi="Times New Roman" w:cs="Times New Roman"/>
                <w:sz w:val="20"/>
                <w:szCs w:val="24"/>
              </w:rPr>
            </w:pPr>
          </w:p>
        </w:tc>
        <w:tc>
          <w:tcPr>
            <w:tcW w:w="2381" w:type="dxa"/>
            <w:vMerge/>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both"/>
              <w:rPr>
                <w:rFonts w:ascii="Times New Roman" w:hAnsi="Times New Roman" w:cs="Times New Roman"/>
                <w:sz w:val="20"/>
                <w:szCs w:val="24"/>
              </w:rPr>
            </w:pPr>
          </w:p>
        </w:tc>
        <w:tc>
          <w:tcPr>
            <w:tcW w:w="3578"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для детей в возрасте старше 3 лет с тяжелыми нарушениями речи, с частичной потерей зрения (слабовидящие), с нарушением интеллекта (умственной отсталостью)</w:t>
            </w:r>
          </w:p>
        </w:tc>
        <w:tc>
          <w:tcPr>
            <w:tcW w:w="1985"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10</w:t>
            </w:r>
          </w:p>
        </w:tc>
      </w:tr>
      <w:tr w:rsidR="00241897" w:rsidRPr="00241897" w:rsidTr="00241897">
        <w:tc>
          <w:tcPr>
            <w:tcW w:w="1412" w:type="dxa"/>
            <w:vMerge/>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both"/>
              <w:rPr>
                <w:rFonts w:ascii="Times New Roman" w:hAnsi="Times New Roman" w:cs="Times New Roman"/>
                <w:sz w:val="20"/>
                <w:szCs w:val="24"/>
              </w:rPr>
            </w:pPr>
          </w:p>
        </w:tc>
        <w:tc>
          <w:tcPr>
            <w:tcW w:w="2381" w:type="dxa"/>
            <w:vMerge/>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both"/>
              <w:rPr>
                <w:rFonts w:ascii="Times New Roman" w:hAnsi="Times New Roman" w:cs="Times New Roman"/>
                <w:sz w:val="20"/>
                <w:szCs w:val="24"/>
              </w:rPr>
            </w:pPr>
          </w:p>
        </w:tc>
        <w:tc>
          <w:tcPr>
            <w:tcW w:w="3578"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для детей в возрасте старше 3 лет с фонетико-фонематическими нарушениями речи</w:t>
            </w:r>
          </w:p>
        </w:tc>
        <w:tc>
          <w:tcPr>
            <w:tcW w:w="1985"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12</w:t>
            </w:r>
          </w:p>
        </w:tc>
      </w:tr>
    </w:tbl>
    <w:p w:rsidR="00241897" w:rsidRPr="00241897" w:rsidRDefault="00241897" w:rsidP="00241897">
      <w:pPr>
        <w:autoSpaceDE w:val="0"/>
        <w:autoSpaceDN w:val="0"/>
        <w:adjustRightInd w:val="0"/>
        <w:spacing w:after="0" w:line="240" w:lineRule="auto"/>
        <w:jc w:val="both"/>
        <w:rPr>
          <w:rFonts w:ascii="Times New Roman" w:hAnsi="Times New Roman" w:cs="Times New Roman"/>
          <w:sz w:val="24"/>
          <w:szCs w:val="24"/>
        </w:rPr>
      </w:pPr>
    </w:p>
    <w:p w:rsidR="00241897" w:rsidRPr="00241897" w:rsidRDefault="00241897" w:rsidP="00241897">
      <w:pPr>
        <w:autoSpaceDE w:val="0"/>
        <w:autoSpaceDN w:val="0"/>
        <w:adjustRightInd w:val="0"/>
        <w:spacing w:after="0" w:line="240" w:lineRule="auto"/>
        <w:jc w:val="center"/>
        <w:outlineLvl w:val="1"/>
        <w:rPr>
          <w:rFonts w:ascii="Times New Roman" w:hAnsi="Times New Roman" w:cs="Times New Roman"/>
          <w:b/>
          <w:bCs/>
          <w:sz w:val="24"/>
          <w:szCs w:val="24"/>
        </w:rPr>
      </w:pPr>
      <w:bookmarkStart w:id="5" w:name="Par218"/>
      <w:bookmarkEnd w:id="5"/>
      <w:r w:rsidRPr="00241897">
        <w:rPr>
          <w:rFonts w:ascii="Times New Roman" w:hAnsi="Times New Roman" w:cs="Times New Roman"/>
          <w:b/>
          <w:bCs/>
          <w:sz w:val="24"/>
          <w:szCs w:val="24"/>
        </w:rPr>
        <w:t>Таблица 4. Коэффициенты удорожания</w:t>
      </w:r>
    </w:p>
    <w:p w:rsidR="00241897" w:rsidRPr="00241897" w:rsidRDefault="00241897" w:rsidP="00241897">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62"/>
        <w:gridCol w:w="3994"/>
      </w:tblGrid>
      <w:tr w:rsidR="00241897" w:rsidRPr="00241897" w:rsidTr="00241897">
        <w:tc>
          <w:tcPr>
            <w:tcW w:w="5362"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Виды групп по направленности</w:t>
            </w:r>
          </w:p>
        </w:tc>
        <w:tc>
          <w:tcPr>
            <w:tcW w:w="3994"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Коэффициенты</w:t>
            </w:r>
          </w:p>
        </w:tc>
      </w:tr>
      <w:tr w:rsidR="00241897" w:rsidRPr="00241897" w:rsidTr="00241897">
        <w:tc>
          <w:tcPr>
            <w:tcW w:w="5362"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общеразвивающей, оздоровительной и комбинированной направленности</w:t>
            </w:r>
          </w:p>
        </w:tc>
        <w:tc>
          <w:tcPr>
            <w:tcW w:w="3994"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jc w:val="center"/>
              <w:rPr>
                <w:rFonts w:ascii="Times New Roman" w:hAnsi="Times New Roman" w:cs="Times New Roman"/>
                <w:sz w:val="20"/>
                <w:szCs w:val="24"/>
              </w:rPr>
            </w:pPr>
            <w:r w:rsidRPr="00241897">
              <w:rPr>
                <w:rFonts w:ascii="Times New Roman" w:hAnsi="Times New Roman" w:cs="Times New Roman"/>
                <w:sz w:val="20"/>
                <w:szCs w:val="24"/>
              </w:rPr>
              <w:t>1,0</w:t>
            </w:r>
          </w:p>
        </w:tc>
      </w:tr>
      <w:tr w:rsidR="00241897" w:rsidRPr="00241897" w:rsidTr="00241897">
        <w:tc>
          <w:tcPr>
            <w:tcW w:w="5362" w:type="dxa"/>
            <w:tcBorders>
              <w:top w:val="single" w:sz="4" w:space="0" w:color="auto"/>
              <w:left w:val="single" w:sz="4" w:space="0" w:color="auto"/>
              <w:bottom w:val="single" w:sz="4" w:space="0" w:color="auto"/>
              <w:right w:val="single" w:sz="4" w:space="0" w:color="auto"/>
            </w:tcBorders>
          </w:tcPr>
          <w:p w:rsidR="00241897" w:rsidRPr="00241897" w:rsidRDefault="00241897" w:rsidP="00241897">
            <w:pPr>
              <w:autoSpaceDE w:val="0"/>
              <w:autoSpaceDN w:val="0"/>
              <w:adjustRightInd w:val="0"/>
              <w:spacing w:after="0" w:line="240" w:lineRule="auto"/>
              <w:rPr>
                <w:rFonts w:ascii="Times New Roman" w:hAnsi="Times New Roman" w:cs="Times New Roman"/>
                <w:sz w:val="20"/>
                <w:szCs w:val="24"/>
              </w:rPr>
            </w:pPr>
            <w:r w:rsidRPr="00241897">
              <w:rPr>
                <w:rFonts w:ascii="Times New Roman" w:hAnsi="Times New Roman" w:cs="Times New Roman"/>
                <w:sz w:val="20"/>
                <w:szCs w:val="24"/>
              </w:rPr>
              <w:t>компенсирующей направленности</w:t>
            </w:r>
          </w:p>
        </w:tc>
        <w:tc>
          <w:tcPr>
            <w:tcW w:w="3994" w:type="dxa"/>
            <w:tcBorders>
              <w:top w:val="single" w:sz="4" w:space="0" w:color="auto"/>
              <w:left w:val="single" w:sz="4" w:space="0" w:color="auto"/>
              <w:bottom w:val="single" w:sz="4" w:space="0" w:color="auto"/>
              <w:right w:val="single" w:sz="4" w:space="0" w:color="auto"/>
            </w:tcBorders>
          </w:tcPr>
          <w:p w:rsidR="00241897" w:rsidRPr="00241897" w:rsidRDefault="00A35C8C" w:rsidP="00241897">
            <w:pPr>
              <w:autoSpaceDE w:val="0"/>
              <w:autoSpaceDN w:val="0"/>
              <w:adjustRightInd w:val="0"/>
              <w:spacing w:after="0" w:line="240" w:lineRule="auto"/>
              <w:jc w:val="center"/>
              <w:rPr>
                <w:rFonts w:ascii="Times New Roman" w:hAnsi="Times New Roman" w:cs="Times New Roman"/>
                <w:sz w:val="20"/>
                <w:szCs w:val="24"/>
              </w:rPr>
            </w:pPr>
            <w:r>
              <w:rPr>
                <w:rFonts w:ascii="Times New Roman" w:hAnsi="Times New Roman" w:cs="Times New Roman"/>
                <w:sz w:val="20"/>
                <w:szCs w:val="24"/>
              </w:rPr>
              <w:t>1,2</w:t>
            </w:r>
          </w:p>
        </w:tc>
      </w:tr>
    </w:tbl>
    <w:p w:rsidR="001A4C66" w:rsidRPr="00241897" w:rsidRDefault="001A4C66" w:rsidP="00241897">
      <w:pPr>
        <w:spacing w:after="0" w:line="240" w:lineRule="auto"/>
        <w:rPr>
          <w:rFonts w:ascii="Times New Roman" w:hAnsi="Times New Roman" w:cs="Times New Roman"/>
          <w:sz w:val="24"/>
          <w:szCs w:val="24"/>
        </w:rPr>
      </w:pPr>
      <w:bookmarkStart w:id="6" w:name="_GoBack"/>
      <w:bookmarkEnd w:id="6"/>
    </w:p>
    <w:sectPr w:rsidR="001A4C66" w:rsidRPr="002418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97"/>
    <w:rsid w:val="001A4C66"/>
    <w:rsid w:val="00241897"/>
    <w:rsid w:val="00A35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C49AD5-4CB4-42F9-A2A3-C149BA81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189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18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hyperlink" Target="consultantplus://offline/ref=0AF7D3B24CFC1A43CA70F498360235090111F74119E8C79304F882AA99C16339E60F217E63D1F071ECAF7BXFb2G" TargetMode="External"/><Relationship Id="rId10" Type="http://schemas.openxmlformats.org/officeDocument/2006/relationships/theme" Target="theme/theme1.xml"/><Relationship Id="rId4" Type="http://schemas.openxmlformats.org/officeDocument/2006/relationships/hyperlink" Target="consultantplus://offline/ref=0AF7D3B24CFC1A43CA70F498360235090111F74119E8C79304F882AA99C16339E60F217E63D1F071ECAF7BXFb2G"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2336</Words>
  <Characters>13318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Панкратова М.В.</dc:creator>
  <cp:lastModifiedBy>Клокова А.В.</cp:lastModifiedBy>
  <cp:revision>2</cp:revision>
  <dcterms:created xsi:type="dcterms:W3CDTF">2020-09-10T09:23:00Z</dcterms:created>
  <dcterms:modified xsi:type="dcterms:W3CDTF">2024-08-08T09:56:00Z</dcterms:modified>
</cp:coreProperties>
</file>