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652" w:rsidRDefault="007A0652">
      <w:pPr>
        <w:pStyle w:val="ConsPlusNormal"/>
        <w:ind w:firstLine="540"/>
        <w:jc w:val="both"/>
      </w:pPr>
    </w:p>
    <w:p w:rsidR="007A0652" w:rsidRPr="00F313B9" w:rsidRDefault="007A0652" w:rsidP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313B9">
        <w:rPr>
          <w:rFonts w:ascii="Times New Roman" w:hAnsi="Times New Roman" w:cs="Times New Roman"/>
          <w:sz w:val="24"/>
          <w:szCs w:val="24"/>
        </w:rPr>
        <w:t>ПОРЯДОК И МЕТОДИКА</w:t>
      </w:r>
    </w:p>
    <w:p w:rsidR="007A0652" w:rsidRDefault="007A0652" w:rsidP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313B9">
        <w:rPr>
          <w:rFonts w:ascii="Times New Roman" w:hAnsi="Times New Roman" w:cs="Times New Roman"/>
          <w:sz w:val="24"/>
          <w:szCs w:val="24"/>
        </w:rPr>
        <w:t xml:space="preserve">РАСПРЕДЕЛЕНИЯ ДОТАЦИЙ НА ВЫРАВНИВАНИЕ </w:t>
      </w:r>
    </w:p>
    <w:p w:rsidR="007A0652" w:rsidRDefault="007A0652" w:rsidP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313B9">
        <w:rPr>
          <w:rFonts w:ascii="Times New Roman" w:hAnsi="Times New Roman" w:cs="Times New Roman"/>
          <w:sz w:val="24"/>
          <w:szCs w:val="24"/>
        </w:rPr>
        <w:t>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3B9">
        <w:rPr>
          <w:rFonts w:ascii="Times New Roman" w:hAnsi="Times New Roman" w:cs="Times New Roman"/>
          <w:sz w:val="24"/>
          <w:szCs w:val="24"/>
        </w:rPr>
        <w:t>ОБЕСПЕЧЕННОСТИ МУНИЦИПАЛЬНЫХ РАЙОНОВ (ГОРОДСКОГО ОКРУГА)</w:t>
      </w:r>
    </w:p>
    <w:p w:rsidR="007A0652" w:rsidRDefault="007A0652" w:rsidP="007A065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0652" w:rsidRPr="00E2462B" w:rsidRDefault="007A0652" w:rsidP="007A065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2462B">
        <w:rPr>
          <w:sz w:val="24"/>
          <w:szCs w:val="24"/>
        </w:rPr>
        <w:t>Утвержден</w:t>
      </w:r>
    </w:p>
    <w:p w:rsidR="007A0652" w:rsidRPr="00E2462B" w:rsidRDefault="007A0652" w:rsidP="007A065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2462B">
        <w:rPr>
          <w:sz w:val="24"/>
          <w:szCs w:val="24"/>
        </w:rPr>
        <w:t>Законом Республики Мордовия</w:t>
      </w:r>
    </w:p>
    <w:p w:rsidR="007A0652" w:rsidRPr="00E2462B" w:rsidRDefault="007A0652" w:rsidP="007A065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27</w:t>
      </w:r>
      <w:r w:rsidRPr="00E2462B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E2462B">
        <w:rPr>
          <w:sz w:val="24"/>
          <w:szCs w:val="24"/>
        </w:rPr>
        <w:t xml:space="preserve"> 20</w:t>
      </w:r>
      <w:r>
        <w:rPr>
          <w:sz w:val="24"/>
          <w:szCs w:val="24"/>
        </w:rPr>
        <w:t>19</w:t>
      </w:r>
      <w:r w:rsidRPr="00E2462B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9</w:t>
      </w:r>
      <w:r w:rsidRPr="00E2462B">
        <w:rPr>
          <w:sz w:val="24"/>
          <w:szCs w:val="24"/>
        </w:rPr>
        <w:t>4-З</w:t>
      </w:r>
    </w:p>
    <w:p w:rsidR="007A0652" w:rsidRPr="00E2462B" w:rsidRDefault="007A0652" w:rsidP="007A065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2462B">
        <w:rPr>
          <w:sz w:val="24"/>
          <w:szCs w:val="24"/>
        </w:rPr>
        <w:t>«О межбюджетных отношениях</w:t>
      </w:r>
    </w:p>
    <w:p w:rsidR="007A0652" w:rsidRPr="004413FA" w:rsidRDefault="007A0652" w:rsidP="007A065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4413FA">
        <w:rPr>
          <w:sz w:val="24"/>
          <w:szCs w:val="24"/>
        </w:rPr>
        <w:t>в Республике Мордовия»</w:t>
      </w:r>
    </w:p>
    <w:p w:rsidR="007A0652" w:rsidRDefault="007A0652" w:rsidP="007A0652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7A0652" w:rsidRPr="007A0652" w:rsidRDefault="007A0652" w:rsidP="007A0652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7A0652">
        <w:rPr>
          <w:rFonts w:eastAsiaTheme="minorHAnsi"/>
          <w:bCs/>
          <w:sz w:val="24"/>
          <w:szCs w:val="24"/>
          <w:lang w:eastAsia="en-US"/>
        </w:rPr>
        <w:t>(в ред. Закона РМ от 18.08.2020 г. №</w:t>
      </w:r>
      <w:hyperlink r:id="rId5" w:history="1">
        <w:r w:rsidRPr="007A0652">
          <w:rPr>
            <w:rFonts w:eastAsiaTheme="minorHAnsi"/>
            <w:bCs/>
            <w:sz w:val="24"/>
            <w:szCs w:val="24"/>
            <w:lang w:eastAsia="en-US"/>
          </w:rPr>
          <w:t xml:space="preserve"> 56-З</w:t>
        </w:r>
      </w:hyperlink>
      <w:r w:rsidRPr="007A0652">
        <w:rPr>
          <w:rFonts w:eastAsiaTheme="minorHAnsi"/>
          <w:bCs/>
          <w:sz w:val="24"/>
          <w:szCs w:val="24"/>
          <w:lang w:eastAsia="en-US"/>
        </w:rPr>
        <w:t>, от 25.11.2023 №86-З)</w:t>
      </w: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1. </w:t>
      </w:r>
      <w:hyperlink r:id="rId6">
        <w:r w:rsidRPr="007A0652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и методика распределения дотаций на выравнивание бюджетной обеспеченности муниципальных районов (городского округа) (далее - Порядок) включает: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1) определение уровня расчетной бюджетной обеспеченности муниципальных районов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2) распределение дотаций на выравнивание бюджетной обеспеченности муниципальных районов (городского округа).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2. Уровень расчетной бюджетной обеспеченности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до распределения дотаций определяется по формуле:</w:t>
      </w:r>
    </w:p>
    <w:p w:rsidR="007A0652" w:rsidRPr="007A0652" w:rsidRDefault="007A065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БО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БО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уровень расчетной бюджетной обеспеченности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до распределения дотаций;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индекс налогового потенциала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3. Индекс налогового потенциала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E34DF5E" wp14:editId="6D69EC64">
            <wp:extent cx="2441575" cy="30416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1 января текущего финансового года;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139EB0F7" wp14:editId="49F7B84A">
            <wp:extent cx="544830" cy="2832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0652">
        <w:rPr>
          <w:rFonts w:ascii="Times New Roman" w:hAnsi="Times New Roman" w:cs="Times New Roman"/>
          <w:sz w:val="24"/>
          <w:szCs w:val="24"/>
        </w:rPr>
        <w:t xml:space="preserve"> - суммарный налоговый потенциал по всем муниципальным районам (городскому округу) на соответствующий финансовый год;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Н - численность постоянного населения Республики Мордовия на 1 января текущего финансового года.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Расчет налогового потенциала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производится по репрезентативной системе налоговых доходов в разрезе отдельных видов налоговых доходов исходя из показателей уровня экономического развития муниципального района (городского округа) и прогноза поступлений налоговых доходов в бюджеты всех муниципальных районов (городского округа).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(часть вторая в ред. </w:t>
      </w:r>
      <w:hyperlink r:id="rId9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Состав репрезентативной системы налоговых доходов для расчета налогового потенциала муниципальных районов (городского округа) приведен в таблице 1.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(часть третья в ред. </w:t>
      </w:r>
      <w:hyperlink r:id="rId10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Таблица 1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Состав</w:t>
      </w:r>
    </w:p>
    <w:p w:rsidR="007A0652" w:rsidRPr="007A0652" w:rsidRDefault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репрезентативной системы налоговых</w:t>
      </w:r>
    </w:p>
    <w:p w:rsidR="007A0652" w:rsidRPr="007A0652" w:rsidRDefault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доходов для расчета налогового потенциала муниципальных</w:t>
      </w:r>
    </w:p>
    <w:p w:rsidR="007A0652" w:rsidRPr="007A0652" w:rsidRDefault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районов (городского округа)</w:t>
      </w:r>
    </w:p>
    <w:p w:rsidR="007A0652" w:rsidRPr="007A0652" w:rsidRDefault="007A06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4253"/>
      </w:tblGrid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</w:tr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(за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а также в части суммы налога, превышающей 650 тыс. рублей, относящейся к части налоговой базы, превышающей 5 млн. рублей)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Общая сумма исчисленного налога на доходы физических лиц</w:t>
            </w:r>
          </w:p>
        </w:tc>
      </w:tr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Сумма исчисленного единого сельскохозяйственного налога</w:t>
            </w:r>
          </w:p>
        </w:tc>
      </w:tr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Размер потенциально возможного к получению индивидуальными предпринимателями годового дохода по видам предпринимательской деятельности, в отношении которых применяется патентная система налогообложения, исчисленного исходя из срока, на который выдан патент</w:t>
            </w:r>
          </w:p>
        </w:tc>
      </w:tr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Сумма налога на имущество физических лиц, подлежащая уплате в бюджет</w:t>
            </w:r>
          </w:p>
        </w:tc>
      </w:tr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Сумма земельного налога, подлежащая </w:t>
            </w:r>
            <w:r w:rsidRPr="007A0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уплате в бюджет</w:t>
            </w:r>
          </w:p>
        </w:tc>
      </w:tr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показатель, характеризующий налоговый потенциал по государственной пошлине</w:t>
            </w:r>
          </w:p>
        </w:tc>
      </w:tr>
      <w:tr w:rsidR="007A0652" w:rsidRPr="007A0652">
        <w:tc>
          <w:tcPr>
            <w:tcW w:w="4762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253" w:type="dxa"/>
          </w:tcPr>
          <w:p w:rsidR="007A0652" w:rsidRPr="007A0652" w:rsidRDefault="007A06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Сумма исчисленного за налоговый период налога, взимаемого в связи с применением упрощенной системы налогообложения</w:t>
            </w:r>
          </w:p>
        </w:tc>
      </w:tr>
    </w:tbl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НДФЛ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ЕСХН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Патент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НИФЛ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ЗН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ГП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УСН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НДФЛ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налогу на доходы физических лиц;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ЕСХН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единому сельскохозяйственному налогу;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Патент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налогу, взимаемому в связи с применением патентной системы налогообложения;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НИФЛ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налогу на имущество физических лиц;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4">
        <w:r w:rsidRPr="007A06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ЗН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земельному налогу;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5">
        <w:r w:rsidRPr="007A06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ГП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государственной пошлине;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6">
        <w:r w:rsidRPr="007A06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УСН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налогу, взимаемому в связи с применением упрощенной системы налогообложения.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7">
        <w:r w:rsidRPr="007A06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видам налогов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3F65D071" wp14:editId="3FFA458F">
            <wp:extent cx="2399665" cy="28321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налоговый потенциал по n-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налогу для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lastRenderedPageBreak/>
        <w:t>НБ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среднегодовой показатель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округа), характеризующий налоговую базу по видам налогов за три финансовых года, предшествующих: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текущему финансовому году - для расчета дотаций на очередной финансовый год;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очередному финансовому году - для расчета дотаций на первый год планового периода;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первому году планового периода - для расчета дотаций на второй год планового периода;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ПНД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прогноз поступления доходов по n-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налогу на соответствующий финансовый год в бюджеты муниципальных районов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7F4B55DD" wp14:editId="0829F41A">
            <wp:extent cx="576580" cy="28321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0652">
        <w:rPr>
          <w:rFonts w:ascii="Times New Roman" w:hAnsi="Times New Roman" w:cs="Times New Roman"/>
          <w:sz w:val="24"/>
          <w:szCs w:val="24"/>
        </w:rPr>
        <w:t xml:space="preserve"> - суммарная среднегодовая величина показателя по муниципальным районам (городскому округу), характеризующая налоговую базу по видам налогов за три финансовых года, предшествующих: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текущему финансовому году - для расчета дотаций на очередной финансовый год;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очередному финансовому году - для расчета дотаций на первый год планового периода;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первому году планового периода - для расчета дотаций на второй год планового периода.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на соответствующий финансовый год по государственной пошлине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ГП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ПНД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ГП</w:t>
      </w:r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ГП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ПНД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ГП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прогноз поступления доходов по государственной пошлине на соответствующий финансовый год в бюджеты муниципальных районов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ГП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расчетный показатель, характеризующий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по государственной пошлине.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(часть шестая в ред. </w:t>
      </w:r>
      <w:hyperlink r:id="rId20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Расчетный показатель, характеризующий налоговый потенциал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по государственной пошлине,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C8643D0" wp14:editId="55E46F82">
            <wp:extent cx="4725670" cy="30416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67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а - параметр, принимаемый равным 0,3.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(часть седьмая введена </w:t>
      </w:r>
      <w:hyperlink r:id="rId22">
        <w:r w:rsidRPr="007A06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Индекс налогового потенциала применяется для сопоставления уровней бюджетной обеспеченности муниципальных районов (городского округа) и не является прогнозируемой (планируемой, рекомендуемой) оценкой налоговых доходов муниципальных районов (городского округа) в расчете на одного жителя или в </w:t>
      </w:r>
      <w:r w:rsidRPr="007A0652">
        <w:rPr>
          <w:rFonts w:ascii="Times New Roman" w:hAnsi="Times New Roman" w:cs="Times New Roman"/>
          <w:sz w:val="24"/>
          <w:szCs w:val="24"/>
        </w:rPr>
        <w:lastRenderedPageBreak/>
        <w:t>абсолютном размере.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(часть восьмая введена </w:t>
      </w:r>
      <w:hyperlink r:id="rId23">
        <w:r w:rsidRPr="007A06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4. Индекс бюджетных расходов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796AC1D" wp14:editId="2A559EDE">
            <wp:extent cx="1917700" cy="30416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доля j-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вида расходов, входящего в состав репрезентативной системы расходов, в общей сумме расходов в планируемом году по всем муниципальным районам (городскому округу);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по j-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Состав репрезентативной системы расходов для расчета индекса бюджетных расходов муниципальных районов (городского округа) приведен в таблице 2.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(часть вторая в ред. </w:t>
      </w:r>
      <w:hyperlink r:id="rId25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E673EE" w:rsidRDefault="00E673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7A0652" w:rsidRPr="007A0652" w:rsidRDefault="007A065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Таблица 2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Структура</w:t>
      </w:r>
    </w:p>
    <w:p w:rsidR="007A0652" w:rsidRPr="007A0652" w:rsidRDefault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репрезентативной системы расходов для расчета индекса</w:t>
      </w:r>
    </w:p>
    <w:p w:rsidR="007A0652" w:rsidRPr="007A0652" w:rsidRDefault="007A06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бюджетных расходов муниципальных районов (городского округа)</w:t>
      </w:r>
    </w:p>
    <w:tbl>
      <w:tblPr>
        <w:tblpPr w:leftFromText="180" w:rightFromText="180" w:vertAnchor="text" w:horzAnchor="margin" w:tblpXSpec="center" w:tblpY="1394"/>
        <w:tblW w:w="10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379"/>
        <w:gridCol w:w="1939"/>
        <w:gridCol w:w="2464"/>
        <w:gridCol w:w="1879"/>
      </w:tblGrid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Группы полномочий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потребителей муниципальных услуг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73EE" w:rsidRPr="007A0652" w:rsidTr="00E673EE">
        <w:tc>
          <w:tcPr>
            <w:tcW w:w="10115" w:type="dxa"/>
            <w:gridSpan w:val="5"/>
          </w:tcPr>
          <w:p w:rsidR="00E673EE" w:rsidRPr="007A0652" w:rsidRDefault="00E673EE" w:rsidP="00E673E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значения, определяющие состав репрезентативной системы расходов бюджетов муниципальных районов</w:t>
            </w:r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23"/>
            <w:bookmarkEnd w:id="0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составление и утверждение отчета об исполнении бюджета муниципального района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масштаба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до 6 лет (включительно)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урбанизации. Коэффициент детей дошкольного возраста. Коэффициент скорректированной численности детей, посещающих дошкольные образовательные организации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Мордовия</w:t>
            </w:r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7 до 17 лет (включительно)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детей школьного возраста. Коэффициент скорректированной численности детей, посещающих общеобразовательные организации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Мордовия</w:t>
            </w:r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библиотечного обслуживания населения </w:t>
            </w: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межпоселенческими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библиотеками, комплектование и обеспечение сохранности их библиотечных фондов; создание условий для обеспечения поселений, входящих в состав муниципального района, услугами по организации досуга и услугами организаций культуры;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муниципального района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масштаба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43"/>
            <w:bookmarkEnd w:id="1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Иные вопросы местного значения, за исключением вопросов местного значения, указанных в </w:t>
            </w:r>
            <w:hyperlink w:anchor="P123">
              <w:r w:rsidRPr="007A0652">
                <w:rPr>
                  <w:rFonts w:ascii="Times New Roman" w:hAnsi="Times New Roman" w:cs="Times New Roman"/>
                  <w:sz w:val="24"/>
                  <w:szCs w:val="24"/>
                </w:rPr>
                <w:t>пунктах 1</w:t>
              </w:r>
            </w:hyperlink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43">
              <w:r w:rsidRPr="007A0652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масштаба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673EE" w:rsidRPr="007A0652" w:rsidTr="00E673EE">
        <w:tc>
          <w:tcPr>
            <w:tcW w:w="10115" w:type="dxa"/>
            <w:gridSpan w:val="5"/>
          </w:tcPr>
          <w:p w:rsidR="00E673EE" w:rsidRPr="007A0652" w:rsidRDefault="00E673EE" w:rsidP="00E673E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значения, определяющие состав репрезентативной системы расходов бюджета городского округа</w:t>
            </w:r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54"/>
            <w:bookmarkEnd w:id="2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Составление и рассмотрение проекта бюджета городского округа, утверждение и исполнение бюджета городского округа, осуществление контроля за его исполнением, составление и утверждение отчета об исполнении бюджета городского округа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масштаба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до 6 лет (включительно)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урбанизации. Коэффициент детей дошкольного возраста. Коэффициент скорректированной численности детей, посещающих дошкольные образовательные организации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Мордовия</w:t>
            </w:r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7 до 17 лет (включительно)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детей школьного возраста. Коэффициент скорректированной численности детей, посещающих общеобразовательные организации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Мордовия</w:t>
            </w:r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городского округа; создание условий для организации досуга и обеспечения жителей городского округа услугами организаций культуры; 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масштаба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74"/>
            <w:bookmarkEnd w:id="3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673EE" w:rsidRPr="007A0652" w:rsidTr="00E673EE">
        <w:tc>
          <w:tcPr>
            <w:tcW w:w="45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79" w:type="dxa"/>
          </w:tcPr>
          <w:p w:rsidR="00E673EE" w:rsidRPr="007A0652" w:rsidRDefault="00E673EE" w:rsidP="00E673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Иные вопросы местного значения, за исключением вопросов местного значения, указанных в </w:t>
            </w:r>
            <w:hyperlink w:anchor="P154">
              <w:r w:rsidRPr="007A0652">
                <w:rPr>
                  <w:rFonts w:ascii="Times New Roman" w:hAnsi="Times New Roman" w:cs="Times New Roman"/>
                  <w:sz w:val="24"/>
                  <w:szCs w:val="24"/>
                </w:rPr>
                <w:t>пунктах 7</w:t>
              </w:r>
            </w:hyperlink>
            <w:r w:rsidRPr="007A065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74">
              <w:r w:rsidRPr="007A0652">
                <w:rPr>
                  <w:rFonts w:ascii="Times New Roman" w:hAnsi="Times New Roman" w:cs="Times New Roman"/>
                  <w:sz w:val="24"/>
                  <w:szCs w:val="24"/>
                </w:rPr>
                <w:t>11</w:t>
              </w:r>
            </w:hyperlink>
          </w:p>
        </w:tc>
        <w:tc>
          <w:tcPr>
            <w:tcW w:w="193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2464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масштаба</w:t>
            </w:r>
          </w:p>
        </w:tc>
        <w:tc>
          <w:tcPr>
            <w:tcW w:w="1879" w:type="dxa"/>
          </w:tcPr>
          <w:p w:rsidR="00E673EE" w:rsidRPr="007A0652" w:rsidRDefault="00E673EE" w:rsidP="00E67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652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</w:tbl>
    <w:p w:rsidR="007A0652" w:rsidRPr="007A0652" w:rsidRDefault="00E673EE" w:rsidP="00E673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7A0652" w:rsidRPr="007A0652" w:rsidSect="00DA4D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A0652">
        <w:rPr>
          <w:rFonts w:ascii="Times New Roman" w:hAnsi="Times New Roman" w:cs="Times New Roman"/>
          <w:sz w:val="24"/>
          <w:szCs w:val="24"/>
        </w:rPr>
        <w:t xml:space="preserve"> </w:t>
      </w:r>
      <w:r w:rsidR="007A0652"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6">
        <w:r w:rsidR="007A0652"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7A0652"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  <w:r w:rsidRPr="007A0652">
        <w:rPr>
          <w:rFonts w:ascii="Times New Roman" w:hAnsi="Times New Roman" w:cs="Times New Roman"/>
          <w:sz w:val="24"/>
          <w:szCs w:val="24"/>
        </w:rPr>
        <w:t>Индекс бюджетных расходов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по j-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К1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7A0652"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nij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) / (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К1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7A0652"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nj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/ Н),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показатель, отражающий численность потребителей муниципальных услуг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по j-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на 1 января текущего финансового года;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7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показатель, отражающий численность потребителей муниципальных услуг муниципальных районов (городского округа) по j-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на 1 января текущего финансового года;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8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К1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7A0652"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nij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коэффициенты, отражающие объективные факторы, влияющие на стоимость предоставляемых муниципальных услуг по j-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в расчете на одного потребителя муниципальных услуг в i-м муниципальном районе (городском округе);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9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К1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7A0652"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nj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коэффициенты, отражающие объективные факторы, влияющие на стоимость предоставляемых муниципальных услуг по j-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в расчете на одного потребителя муниципальных услуг в среднем по Республике Мордовия.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0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Для расчета индекса бюджетных расходов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применяются следующие коэффициенты: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1) коэффициент расселения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РАС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(1 + a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УВ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) / (1 + a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x УВ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 w:rsidRPr="007A0652">
        <w:rPr>
          <w:rFonts w:ascii="Times New Roman" w:hAnsi="Times New Roman" w:cs="Times New Roman"/>
          <w:sz w:val="24"/>
          <w:szCs w:val="24"/>
        </w:rPr>
        <w:t xml:space="preserve"> / Н),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РАС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 расселения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параметр, принимаемый равным 0,4;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УВ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удельный вес жителей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округа), проживающих в населенных пунктах с численностью населения менее 500 человек;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УВ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удельный вес жителей всех муниципальных районов (городского округа), проживающих в населенных пунктах с численностью населения менее 500 человек в муниципальных районах (городском округе);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2) коэффициент масштаба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+ (1 - 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>) x (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ср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),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 масштаба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ср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средняя численность постоянного населения муниципальных районов (городского округа) на 1 января текущего финансового года;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3) коэффициент урбанизации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5"/>
          <w:sz w:val="24"/>
          <w:szCs w:val="24"/>
        </w:rPr>
        <w:drawing>
          <wp:inline distT="0" distB="0" distL="0" distR="0" wp14:anchorId="337222B4" wp14:editId="3CAA267D">
            <wp:extent cx="3405505" cy="33528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50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УРБ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 урбанизации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параметр, принимаемый равным 0,1;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УВ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Г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удельный вес городского населения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4) коэффициент детей дошкольного возраста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6934DBE" wp14:editId="3C1A650A">
            <wp:extent cx="2546350" cy="30416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ДВ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 детей дошкольного возраста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ДВ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численность детей в возрасте от 2 до 6 лет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5) коэффициент скорректированной численности детей, посещающих дошкольные 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округа),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BA30381" wp14:editId="17CA41A9">
            <wp:extent cx="2525395" cy="30416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СДО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 скорректированной численности детей, посещающих дошкольные 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СДО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скорректированная численность детей, посещающих дошкольные 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4545A30C" wp14:editId="1B8CD51C">
            <wp:extent cx="597535" cy="28321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0652">
        <w:rPr>
          <w:rFonts w:ascii="Times New Roman" w:hAnsi="Times New Roman" w:cs="Times New Roman"/>
          <w:sz w:val="24"/>
          <w:szCs w:val="24"/>
        </w:rPr>
        <w:t xml:space="preserve"> - суммарная скорректированная численность детей, посещающих дошкольные образовательные организации муниципальных районов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скорректированная численность детей, посещающих дошкольные 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округа),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СДО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&gt;=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ПМ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СДО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(1 - 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A0652">
        <w:rPr>
          <w:rFonts w:ascii="Times New Roman" w:hAnsi="Times New Roman" w:cs="Times New Roman"/>
          <w:sz w:val="24"/>
          <w:szCs w:val="24"/>
        </w:rPr>
        <w:t xml:space="preserve">)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ПМ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ПМ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фактическая численность детей, посещающих дошкольные образовательные </w:t>
      </w:r>
      <w:r w:rsidRPr="007A0652">
        <w:rPr>
          <w:rFonts w:ascii="Times New Roman" w:hAnsi="Times New Roman" w:cs="Times New Roman"/>
          <w:sz w:val="24"/>
          <w:szCs w:val="24"/>
        </w:rPr>
        <w:lastRenderedPageBreak/>
        <w:t>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ПМ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ДО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проектная мощность дошкольных образовательных организаций согласно санитарно-эпидемиологическим требованиям по санитарно-эпидемиологическому заключению в i-м муниципальном районе (городском округе);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параметр, принимаемый равным 0,8;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6) коэффициент детей школьного возраста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4D84D2C" wp14:editId="791534B9">
            <wp:extent cx="2514600" cy="30416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шв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 детей школьного возраста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шв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численность детей в возрасте от 7 до 16 лет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7) коэффициент скорректированной численности детей, посещающих общеобразовательные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округа),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948FB3" wp14:editId="07598E7D">
            <wp:extent cx="2525395" cy="30416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СОО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коэффициент скорректированной численности детей, посещающих общеобразовательные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СОО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скорректированная численность детей, посещающих общеобразовательные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11BBF754" wp14:editId="730C018B">
            <wp:extent cx="597535" cy="28321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0652">
        <w:rPr>
          <w:rFonts w:ascii="Times New Roman" w:hAnsi="Times New Roman" w:cs="Times New Roman"/>
          <w:sz w:val="24"/>
          <w:szCs w:val="24"/>
        </w:rPr>
        <w:t xml:space="preserve"> - суммарная скорректированная численность детей, посещающих общеобразовательные организации муниципальных районов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скорректированная численность детей, посещающих общеобразовательные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округа), рассчитывается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End"/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СОО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&gt;=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ПМ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СОО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а</w:t>
      </w:r>
      <w:proofErr w:type="gramStart"/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(1 - 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A0652">
        <w:rPr>
          <w:rFonts w:ascii="Times New Roman" w:hAnsi="Times New Roman" w:cs="Times New Roman"/>
          <w:sz w:val="24"/>
          <w:szCs w:val="24"/>
        </w:rPr>
        <w:t xml:space="preserve">)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ПМ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ПМ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ЧД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фактическая численность детей, посещающих общеобразовательные организации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ПМ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ОО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проектная мощность общеобразовательных организаций согласно санитарно-эпидемиологическим требованиям по санитарно-эпидемиологическому заключению в i-м муниципальном районе (городском округе);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а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параметр, принимаемый равным 0,9;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(часть четвертая в ред. </w:t>
      </w:r>
      <w:hyperlink r:id="rId38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lastRenderedPageBreak/>
        <w:t>5. Общий объем дотаций на выравнивание бюджетной обеспеченности муниципальных районов (городского округа), планируемый к распределению, определяется исходя из необходимости достижения критерия выравнивания бюджетной обеспеченности муниципальных районов (городского округа)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EA41BE5" wp14:editId="68CEF755">
            <wp:extent cx="4836160" cy="27686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16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0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Т - общий объем дотаций на выравнивание бюджетной обеспеченности муниципальных районов (городского округа), планируемый к распределению;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ПРНД - уровень обеспеченности налоговыми доходами (без учета налоговых доходов по дополнительным нормативам отчислений) в расчете на одного жителя муниципальных районов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ВБО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критерий выравнивания расчетной бюджетной обеспеченности муниципальных районов (городского округа);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УТ - общий объем дотаций муниципальным районам (городскому округу), утвержденный соответственно на текущий финансовый год и плановый период законом Республики Мордовия о республиканском бюджете Республики Мордовия на текущий финансовый год и плановый период и увеличенный на прогнозируемый уровень инфляции в соответствующем финансовом году.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1">
        <w:r w:rsidRPr="007A065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6. Уровень обеспеченности налоговыми доходами (без учета налоговых доходов по дополнительным нормативам отчислений) в расчете на одного жителя муниципальных районов (городского округа) определяется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ПРНД = ПНД / Н, где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ПНД - прогноз (оценка) налоговых доходов (без учета налоговых доходов по дополнительным нормативам отчислений) муниципальных районов (городского округа) на соответствующий финансовый год.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7. Дотации на выравнивание бюджетной обеспеченности муниципальных районов (городского округа), предоставляемые из республиканского бюджета Республики Мордовия, распределяются в два этапа.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8. На первом этапе объем дотаций распределяется между муниципальными районами (городским округом), уровень расчетной бюджетной обеспеченности которых до распределения дотаций не превышает уровень, установленный в качестве промежуточного критерия выравнивания расчетной бюджетной обеспеченности, и определяется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Т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7A065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A0652">
        <w:rPr>
          <w:rFonts w:ascii="Times New Roman" w:hAnsi="Times New Roman" w:cs="Times New Roman"/>
          <w:sz w:val="24"/>
          <w:szCs w:val="24"/>
        </w:rPr>
        <w:t xml:space="preserve"> x 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>, если 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&gt; 0,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Т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объем дотации, выделяемой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округу) на первом этапе;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П - степень сокращения отставания расчетной бюджетной обеспеченности муниципальных районов (городского округа) от уровня, установленного в качестве промежуточного критерия выравнивания расчетной бюджетной обеспеченности, </w:t>
      </w:r>
      <w:r w:rsidRPr="007A0652">
        <w:rPr>
          <w:rFonts w:ascii="Times New Roman" w:hAnsi="Times New Roman" w:cs="Times New Roman"/>
          <w:sz w:val="24"/>
          <w:szCs w:val="24"/>
        </w:rPr>
        <w:lastRenderedPageBreak/>
        <w:t>принимаемая равной 85 процентам;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объем средств, необходимый для доведения уровня расчетной бюджетной обеспеченности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до уровня, установленного в качестве промежуточного критерия выравнивания бюджетной обеспеченности.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9. Объем средств, необходимый для доведения уровня расчетной бюджетной обеспеченности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до уровня, установленного в качестве промежуточного критерия выравнивания бюджетной обеспеченности, определяется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= ПРНД x (К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БО</w:t>
      </w:r>
      <w:proofErr w:type="gramStart"/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7A0652">
        <w:rPr>
          <w:rFonts w:ascii="Times New Roman" w:hAnsi="Times New Roman" w:cs="Times New Roman"/>
          <w:sz w:val="24"/>
          <w:szCs w:val="24"/>
        </w:rPr>
        <w:t xml:space="preserve">)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БО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&lt; К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7A0652">
        <w:rPr>
          <w:rFonts w:ascii="Times New Roman" w:hAnsi="Times New Roman" w:cs="Times New Roman"/>
          <w:sz w:val="24"/>
          <w:szCs w:val="24"/>
        </w:rPr>
        <w:t>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К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уровень, установленный в качестве промежуточного критерия выравнивания расчетной бюджетной обеспеченности, принимаемый равным 80 процентам.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2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10. На втором этапе объем дотаций распределяется между муниципальными районами (городским округом), уровень расчетной бюджетной обеспеченности которых с учетом дотаций, распределенных на первом этапе, не превышает уровень, установленный в качестве критерия выравнивания расчетной бюджетной обеспеченности, и определяется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6F35B3B" wp14:editId="20FFE118">
            <wp:extent cx="3426460" cy="30416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Т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объем дотации, выделяемой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округу) на втором этапе;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136B1676" wp14:editId="0E495DF3">
            <wp:extent cx="450850" cy="283210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0652">
        <w:rPr>
          <w:rFonts w:ascii="Times New Roman" w:hAnsi="Times New Roman" w:cs="Times New Roman"/>
          <w:sz w:val="24"/>
          <w:szCs w:val="24"/>
        </w:rPr>
        <w:t xml:space="preserve"> - общий объем дотаций по всем муниципальным районам (городскому округу), распределенный на первом этапе;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объем средств, необходимый для доведения уровня расчетной бюджетной обеспеченности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с учетом дотаций, распределенных на первом этапе, до уровня, установленного в качестве критерия выравнивания бюджетной обеспеченности;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2FA5E5C8" wp14:editId="0A6CED78">
            <wp:extent cx="471805" cy="283210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0652">
        <w:rPr>
          <w:rFonts w:ascii="Times New Roman" w:hAnsi="Times New Roman" w:cs="Times New Roman"/>
          <w:sz w:val="24"/>
          <w:szCs w:val="24"/>
        </w:rPr>
        <w:t xml:space="preserve"> - общий объем средств, необходимый для доведения уровня расчетной бюджетной обеспеченности всех муниципальных районов (городского округа) с учетом дотаций, распределенных на первом этапе, до уровня, установленного в качестве критерия выравнивания расчетной бюджетной обеспеченности.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11. Объем средств, необходимый для доведения уровня расчетной бюджетной обеспеченности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с учетом дотаций, распределенных на первом этапе, до уровня, установленного в качестве критерия выравнивания расчетной бюджетной обеспеченности, определяется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Д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A0652">
        <w:rPr>
          <w:rFonts w:ascii="Times New Roman" w:hAnsi="Times New Roman" w:cs="Times New Roman"/>
          <w:sz w:val="24"/>
          <w:szCs w:val="24"/>
        </w:rPr>
        <w:t xml:space="preserve"> = ПРНД x (К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ВБО</w:t>
      </w:r>
      <w:r w:rsidRPr="007A0652">
        <w:rPr>
          <w:rFonts w:ascii="Times New Roman" w:hAnsi="Times New Roman" w:cs="Times New Roman"/>
          <w:sz w:val="24"/>
          <w:szCs w:val="24"/>
        </w:rPr>
        <w:t xml:space="preserve"> - (Т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/ (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proofErr w:type="gramStart"/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ПРНД)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БО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))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>, если Т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A0652">
        <w:rPr>
          <w:rFonts w:ascii="Times New Roman" w:hAnsi="Times New Roman" w:cs="Times New Roman"/>
          <w:sz w:val="24"/>
          <w:szCs w:val="24"/>
        </w:rPr>
        <w:t xml:space="preserve"> / (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ПРНД)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БО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&lt; К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ВБО</w:t>
      </w:r>
      <w:r w:rsidRPr="007A0652">
        <w:rPr>
          <w:rFonts w:ascii="Times New Roman" w:hAnsi="Times New Roman" w:cs="Times New Roman"/>
          <w:sz w:val="24"/>
          <w:szCs w:val="24"/>
        </w:rPr>
        <w:t>.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12. Общий объем дотации, выделяемой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округу), определяется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5"/>
          <w:sz w:val="24"/>
          <w:szCs w:val="24"/>
        </w:rPr>
        <w:drawing>
          <wp:inline distT="0" distB="0" distL="0" distR="0" wp14:anchorId="0FDED6D5" wp14:editId="72E472BB">
            <wp:extent cx="5207635" cy="335280"/>
            <wp:effectExtent l="0" t="0" r="0" b="0"/>
            <wp:docPr id="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63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Т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общий объем дотации, выделяемой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округу);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УT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A0652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объем дотации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округу), утвержденный соответственно на очередной финансовый год и первый год планового периода законом Республики Мордовия о республиканском бюджете Республики Мордовия на текущий финансовый год и плановый период;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41126978" wp14:editId="7A64EBE5">
            <wp:extent cx="576580" cy="283210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0652">
        <w:rPr>
          <w:rFonts w:ascii="Times New Roman" w:hAnsi="Times New Roman" w:cs="Times New Roman"/>
          <w:sz w:val="24"/>
          <w:szCs w:val="24"/>
        </w:rPr>
        <w:t xml:space="preserve"> - суммарный объем дотаций муниципальным районам (городскому округу), утвержденный соответственно на очередной финансовый год и первый год планового периода законом Республики Мордовия о республиканском бюджете Республики Мордовия на текущий финансовый год и плановый период.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(п. 12 в ред. </w:t>
      </w:r>
      <w:hyperlink r:id="rId48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>13. Уровень расчетной бюджетной обеспеченности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после распределения дотаций определяется по формуле: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РБО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БО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Т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/ (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Н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ИБР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x ПРНД), где: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A0652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9">
        <w:r w:rsidRPr="007A0652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A0652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652">
        <w:rPr>
          <w:rFonts w:ascii="Times New Roman" w:hAnsi="Times New Roman" w:cs="Times New Roman"/>
          <w:sz w:val="24"/>
          <w:szCs w:val="24"/>
        </w:rPr>
        <w:t>РБО</w:t>
      </w:r>
      <w:r w:rsidRPr="007A065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- уровень расчетной бюджетной обеспеченности i-</w:t>
      </w:r>
      <w:proofErr w:type="spellStart"/>
      <w:r w:rsidRPr="007A06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A0652">
        <w:rPr>
          <w:rFonts w:ascii="Times New Roman" w:hAnsi="Times New Roman" w:cs="Times New Roman"/>
          <w:sz w:val="24"/>
          <w:szCs w:val="24"/>
        </w:rPr>
        <w:t xml:space="preserve"> муниципального района (городского округа) после распределения дотаций.</w:t>
      </w:r>
    </w:p>
    <w:p w:rsidR="007A0652" w:rsidRPr="007A0652" w:rsidRDefault="007A0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0652" w:rsidRPr="007A0652" w:rsidRDefault="007A065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7689" w:rsidRPr="007A0652" w:rsidRDefault="001E7689">
      <w:pPr>
        <w:rPr>
          <w:sz w:val="24"/>
          <w:szCs w:val="24"/>
        </w:rPr>
      </w:pPr>
    </w:p>
    <w:sectPr w:rsidR="001E7689" w:rsidRPr="007A0652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52"/>
    <w:rsid w:val="001E7689"/>
    <w:rsid w:val="007A0652"/>
    <w:rsid w:val="00E6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06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A06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73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3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06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A06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73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3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14&amp;n=109214&amp;dst=100230" TargetMode="External"/><Relationship Id="rId18" Type="http://schemas.openxmlformats.org/officeDocument/2006/relationships/image" Target="media/image3.wmf"/><Relationship Id="rId26" Type="http://schemas.openxmlformats.org/officeDocument/2006/relationships/hyperlink" Target="https://login.consultant.ru/link/?req=doc&amp;base=RLAW314&amp;n=109214&amp;dst=100250" TargetMode="External"/><Relationship Id="rId39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5.wmf"/><Relationship Id="rId34" Type="http://schemas.openxmlformats.org/officeDocument/2006/relationships/image" Target="media/image10.wmf"/><Relationship Id="rId42" Type="http://schemas.openxmlformats.org/officeDocument/2006/relationships/hyperlink" Target="https://login.consultant.ru/link/?req=doc&amp;base=RLAW314&amp;n=109214&amp;dst=100383" TargetMode="External"/><Relationship Id="rId47" Type="http://schemas.openxmlformats.org/officeDocument/2006/relationships/image" Target="media/image19.wmf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s://login.consultant.ru/link/?req=doc&amp;base=RLAW314&amp;n=109214&amp;dst=100228" TargetMode="External"/><Relationship Id="rId17" Type="http://schemas.openxmlformats.org/officeDocument/2006/relationships/hyperlink" Target="https://login.consultant.ru/link/?req=doc&amp;base=RLAW314&amp;n=109214&amp;dst=100236" TargetMode="External"/><Relationship Id="rId25" Type="http://schemas.openxmlformats.org/officeDocument/2006/relationships/hyperlink" Target="https://login.consultant.ru/link/?req=doc&amp;base=RLAW314&amp;n=109214&amp;dst=100248" TargetMode="External"/><Relationship Id="rId33" Type="http://schemas.openxmlformats.org/officeDocument/2006/relationships/image" Target="media/image9.wmf"/><Relationship Id="rId38" Type="http://schemas.openxmlformats.org/officeDocument/2006/relationships/hyperlink" Target="https://login.consultant.ru/link/?req=doc&amp;base=RLAW314&amp;n=109214&amp;dst=100332" TargetMode="External"/><Relationship Id="rId46" Type="http://schemas.openxmlformats.org/officeDocument/2006/relationships/image" Target="media/image18.wmf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14&amp;n=109214&amp;dst=100235" TargetMode="External"/><Relationship Id="rId20" Type="http://schemas.openxmlformats.org/officeDocument/2006/relationships/hyperlink" Target="https://login.consultant.ru/link/?req=doc&amp;base=RLAW314&amp;n=109214&amp;dst=100237" TargetMode="External"/><Relationship Id="rId29" Type="http://schemas.openxmlformats.org/officeDocument/2006/relationships/hyperlink" Target="https://login.consultant.ru/link/?req=doc&amp;base=RLAW314&amp;n=109214&amp;dst=100329" TargetMode="External"/><Relationship Id="rId41" Type="http://schemas.openxmlformats.org/officeDocument/2006/relationships/hyperlink" Target="https://login.consultant.ru/link/?req=doc&amp;base=RLAW314&amp;n=109214&amp;dst=10038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810&amp;dst=4160" TargetMode="External"/><Relationship Id="rId11" Type="http://schemas.openxmlformats.org/officeDocument/2006/relationships/hyperlink" Target="https://login.consultant.ru/link/?req=doc&amp;base=RLAW314&amp;n=109214&amp;dst=100205" TargetMode="External"/><Relationship Id="rId24" Type="http://schemas.openxmlformats.org/officeDocument/2006/relationships/image" Target="media/image6.wmf"/><Relationship Id="rId32" Type="http://schemas.openxmlformats.org/officeDocument/2006/relationships/image" Target="media/image8.wmf"/><Relationship Id="rId37" Type="http://schemas.openxmlformats.org/officeDocument/2006/relationships/image" Target="media/image13.wmf"/><Relationship Id="rId40" Type="http://schemas.openxmlformats.org/officeDocument/2006/relationships/hyperlink" Target="https://login.consultant.ru/link/?req=doc&amp;base=RLAW314&amp;n=109214&amp;dst=100380" TargetMode="External"/><Relationship Id="rId45" Type="http://schemas.openxmlformats.org/officeDocument/2006/relationships/image" Target="media/image17.wmf"/><Relationship Id="rId5" Type="http://schemas.openxmlformats.org/officeDocument/2006/relationships/hyperlink" Target="consultantplus://offline/ref=162AB5CBC93998477692D1F5E0C6AE7E09AE6191254E31E0B392E1A082C12540DB9F71C7B242F45FA1EFBBoFU7I" TargetMode="External"/><Relationship Id="rId15" Type="http://schemas.openxmlformats.org/officeDocument/2006/relationships/hyperlink" Target="https://login.consultant.ru/link/?req=doc&amp;base=RLAW314&amp;n=109214&amp;dst=100234" TargetMode="External"/><Relationship Id="rId23" Type="http://schemas.openxmlformats.org/officeDocument/2006/relationships/hyperlink" Target="https://login.consultant.ru/link/?req=doc&amp;base=RLAW314&amp;n=109214&amp;dst=100246" TargetMode="External"/><Relationship Id="rId28" Type="http://schemas.openxmlformats.org/officeDocument/2006/relationships/hyperlink" Target="https://login.consultant.ru/link/?req=doc&amp;base=RLAW314&amp;n=109214&amp;dst=100328" TargetMode="External"/><Relationship Id="rId36" Type="http://schemas.openxmlformats.org/officeDocument/2006/relationships/image" Target="media/image12.wmf"/><Relationship Id="rId49" Type="http://schemas.openxmlformats.org/officeDocument/2006/relationships/hyperlink" Target="https://login.consultant.ru/link/?req=doc&amp;base=RLAW314&amp;n=109214&amp;dst=100390" TargetMode="External"/><Relationship Id="rId10" Type="http://schemas.openxmlformats.org/officeDocument/2006/relationships/hyperlink" Target="https://login.consultant.ru/link/?req=doc&amp;base=RLAW314&amp;n=109214&amp;dst=100204" TargetMode="External"/><Relationship Id="rId19" Type="http://schemas.openxmlformats.org/officeDocument/2006/relationships/image" Target="media/image4.wmf"/><Relationship Id="rId31" Type="http://schemas.openxmlformats.org/officeDocument/2006/relationships/image" Target="media/image7.wmf"/><Relationship Id="rId44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14&amp;n=109214&amp;dst=100202" TargetMode="External"/><Relationship Id="rId14" Type="http://schemas.openxmlformats.org/officeDocument/2006/relationships/hyperlink" Target="https://login.consultant.ru/link/?req=doc&amp;base=RLAW314&amp;n=109214&amp;dst=100232" TargetMode="External"/><Relationship Id="rId22" Type="http://schemas.openxmlformats.org/officeDocument/2006/relationships/hyperlink" Target="https://login.consultant.ru/link/?req=doc&amp;base=RLAW314&amp;n=109214&amp;dst=100242" TargetMode="External"/><Relationship Id="rId27" Type="http://schemas.openxmlformats.org/officeDocument/2006/relationships/hyperlink" Target="https://login.consultant.ru/link/?req=doc&amp;base=RLAW314&amp;n=109214&amp;dst=100327" TargetMode="External"/><Relationship Id="rId30" Type="http://schemas.openxmlformats.org/officeDocument/2006/relationships/hyperlink" Target="https://login.consultant.ru/link/?req=doc&amp;base=RLAW314&amp;n=109214&amp;dst=100331" TargetMode="External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hyperlink" Target="https://login.consultant.ru/link/?req=doc&amp;base=RLAW314&amp;n=109214&amp;dst=100384" TargetMode="External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4359</Words>
  <Characters>24848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А.В.</dc:creator>
  <cp:keywords/>
  <dc:description/>
  <cp:lastModifiedBy>Малышенкова Е.И.</cp:lastModifiedBy>
  <cp:revision>2</cp:revision>
  <dcterms:created xsi:type="dcterms:W3CDTF">2024-08-08T12:04:00Z</dcterms:created>
  <dcterms:modified xsi:type="dcterms:W3CDTF">2024-08-08T12:11:00Z</dcterms:modified>
</cp:coreProperties>
</file>