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74" w:rsidRDefault="00C01A8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Информация</w:t>
      </w:r>
    </w:p>
    <w:p w:rsidR="008D1974" w:rsidRDefault="00C01A8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депутатов Государственного Собрания Республики Мордовия по обращениям граждан за 2024 год</w:t>
      </w:r>
    </w:p>
    <w:p w:rsidR="008D1974" w:rsidRDefault="008D1974">
      <w:pPr>
        <w:spacing w:line="276" w:lineRule="auto"/>
        <w:ind w:firstLine="540"/>
        <w:jc w:val="both"/>
        <w:rPr>
          <w:sz w:val="26"/>
          <w:szCs w:val="26"/>
        </w:rPr>
      </w:pP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2024 году депутатами Государственного Собрания Республики Мордовия рассмотрено 1739 обращений, из них: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1129 обращениям депутатами Государственного Собрания Республики Мордовия приняты решения, даны разъяснения, оказана помощь;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610 обращениям направлены депутатские запросы в профильные министерства, ведомства, органы местного самоуправления и иные структуры для принятия мер по решению изложенных в обращениях проблем. В итоге решены положительно – 367 запросов, не решены – 243.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52% обращений поступило к депутатам Государственного Собрания Республики Мордовия по электронной почте и через интернет-приемную, 38% - почтовой связью, 10% передано гражданами в ходе личных приемов. </w:t>
      </w:r>
    </w:p>
    <w:p w:rsidR="008D1974" w:rsidRDefault="008D1974">
      <w:pPr>
        <w:spacing w:line="276" w:lineRule="auto"/>
        <w:ind w:firstLine="540"/>
        <w:jc w:val="both"/>
        <w:rPr>
          <w:sz w:val="28"/>
          <w:szCs w:val="28"/>
        </w:rPr>
      </w:pPr>
    </w:p>
    <w:p w:rsidR="008D1974" w:rsidRDefault="00C01A8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Рисунок 1:</w:t>
      </w:r>
      <w:r>
        <w:rPr>
          <w:color w:val="44546A"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Данные по видам связи, через которые поступали обращения граждан к депутатам Государственного Собрания Республики Мордовия в 2024 г.</w:t>
      </w:r>
    </w:p>
    <w:p w:rsidR="008D1974" w:rsidRDefault="00C01A81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319405</wp:posOffset>
            </wp:positionV>
            <wp:extent cx="6562725" cy="3114675"/>
            <wp:effectExtent l="0" t="0" r="9525" b="9525"/>
            <wp:wrapSquare wrapText="bothSides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D1974" w:rsidRDefault="00C01A81">
      <w:pPr>
        <w:spacing w:line="276" w:lineRule="auto"/>
        <w:rPr>
          <w:sz w:val="28"/>
          <w:szCs w:val="28"/>
        </w:rPr>
      </w:pPr>
      <w:r>
        <w:br w:type="textWrapping" w:clear="all"/>
      </w:r>
    </w:p>
    <w:p w:rsidR="008D1974" w:rsidRDefault="008D1974">
      <w:pPr>
        <w:spacing w:line="276" w:lineRule="auto"/>
        <w:ind w:firstLine="540"/>
        <w:jc w:val="both"/>
        <w:rPr>
          <w:sz w:val="28"/>
          <w:szCs w:val="28"/>
        </w:rPr>
      </w:pPr>
    </w:p>
    <w:p w:rsidR="008D1974" w:rsidRDefault="008D1974">
      <w:pPr>
        <w:spacing w:line="276" w:lineRule="auto"/>
        <w:ind w:firstLine="540"/>
        <w:jc w:val="both"/>
        <w:rPr>
          <w:sz w:val="28"/>
          <w:szCs w:val="28"/>
        </w:rPr>
      </w:pPr>
    </w:p>
    <w:p w:rsidR="008D1974" w:rsidRDefault="008D1974">
      <w:pPr>
        <w:spacing w:line="276" w:lineRule="auto"/>
        <w:ind w:firstLine="540"/>
        <w:jc w:val="both"/>
        <w:rPr>
          <w:sz w:val="28"/>
          <w:szCs w:val="28"/>
        </w:rPr>
      </w:pPr>
    </w:p>
    <w:p w:rsidR="008D1974" w:rsidRDefault="008D1974">
      <w:pPr>
        <w:spacing w:line="276" w:lineRule="auto"/>
        <w:ind w:firstLine="540"/>
        <w:jc w:val="both"/>
        <w:rPr>
          <w:sz w:val="28"/>
          <w:szCs w:val="28"/>
        </w:rPr>
      </w:pPr>
    </w:p>
    <w:p w:rsidR="008D1974" w:rsidRDefault="008D1974">
      <w:pPr>
        <w:spacing w:line="276" w:lineRule="auto"/>
        <w:ind w:firstLine="540"/>
        <w:jc w:val="both"/>
        <w:rPr>
          <w:sz w:val="28"/>
          <w:szCs w:val="28"/>
        </w:rPr>
      </w:pPr>
    </w:p>
    <w:p w:rsidR="008D1974" w:rsidRDefault="008D1974">
      <w:pPr>
        <w:spacing w:line="276" w:lineRule="auto"/>
        <w:ind w:firstLine="540"/>
        <w:jc w:val="both"/>
        <w:rPr>
          <w:sz w:val="28"/>
          <w:szCs w:val="28"/>
        </w:rPr>
      </w:pP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Тематика обращений граждан представлена в нижестоящей таблице № 1.</w:t>
      </w:r>
    </w:p>
    <w:p w:rsidR="008D1974" w:rsidRDefault="008D1974">
      <w:pPr>
        <w:spacing w:line="276" w:lineRule="auto"/>
        <w:ind w:firstLine="540"/>
        <w:jc w:val="both"/>
        <w:rPr>
          <w:sz w:val="26"/>
          <w:szCs w:val="26"/>
        </w:rPr>
      </w:pPr>
    </w:p>
    <w:p w:rsidR="008D1974" w:rsidRDefault="00C01A8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1</w:t>
      </w:r>
    </w:p>
    <w:p w:rsidR="008D1974" w:rsidRDefault="008D1974">
      <w:pPr>
        <w:jc w:val="center"/>
        <w:rPr>
          <w:sz w:val="22"/>
          <w:szCs w:val="22"/>
        </w:rPr>
      </w:pPr>
    </w:p>
    <w:p w:rsidR="008D1974" w:rsidRDefault="00C01A81">
      <w:pPr>
        <w:jc w:val="center"/>
        <w:rPr>
          <w:sz w:val="22"/>
          <w:szCs w:val="22"/>
        </w:rPr>
      </w:pPr>
      <w:r>
        <w:rPr>
          <w:sz w:val="22"/>
          <w:szCs w:val="22"/>
        </w:rPr>
        <w:t>ТЕМАТИКА</w:t>
      </w:r>
    </w:p>
    <w:p w:rsidR="008D1974" w:rsidRDefault="00C01A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обращений граждан к депутатам Государственного Собрания </w:t>
      </w:r>
    </w:p>
    <w:p w:rsidR="008D1974" w:rsidRDefault="00C01A81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Мордовия за 2024 год</w:t>
      </w:r>
    </w:p>
    <w:p w:rsidR="008D1974" w:rsidRDefault="008D1974">
      <w:pPr>
        <w:jc w:val="center"/>
        <w:rPr>
          <w:b/>
          <w:sz w:val="24"/>
          <w:szCs w:val="24"/>
        </w:rPr>
      </w:pPr>
    </w:p>
    <w:tbl>
      <w:tblPr>
        <w:tblW w:w="9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02"/>
        <w:gridCol w:w="7331"/>
        <w:gridCol w:w="1312"/>
      </w:tblGrid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8D19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Поступило всего обращений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1739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8D19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рассмотрено</w:t>
            </w:r>
          </w:p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находится на рассмотрении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Законодательство</w:t>
            </w:r>
            <w:r>
              <w:rPr>
                <w:sz w:val="24"/>
                <w:szCs w:val="24"/>
              </w:rPr>
              <w:t xml:space="preserve"> (совершенствование законодательства РФ и субъектов РФ, разъяснение законодательства)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Государственная власть и региональная безопасность </w:t>
            </w:r>
            <w:r>
              <w:rPr>
                <w:sz w:val="24"/>
                <w:szCs w:val="24"/>
              </w:rPr>
              <w:t>(защита прав и свобод человека и гражданина, вопросы деятельности судебных органов, органов полиции, работа органов государственной власти РМ)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Бюджет, финансовая и налоговая политика</w:t>
            </w:r>
            <w:r>
              <w:rPr>
                <w:sz w:val="24"/>
                <w:szCs w:val="24"/>
              </w:rPr>
              <w:t xml:space="preserve"> (экономика, предпринимательство и инвестиционная политика, потребительский рынок)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Местное самоуправление</w:t>
            </w:r>
            <w:r>
              <w:rPr>
                <w:sz w:val="24"/>
                <w:szCs w:val="24"/>
              </w:rPr>
              <w:t xml:space="preserve"> (работа органов местного самоуправления, муниципальная служба)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Аграрная политика, землепользование, природные ресурсы и экология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 xml:space="preserve"> (строительство жилья, дорожное строительство)</w:t>
            </w:r>
          </w:p>
          <w:p w:rsidR="008D1974" w:rsidRDefault="008D19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Жилищные вопросы</w:t>
            </w:r>
            <w:r>
              <w:rPr>
                <w:sz w:val="24"/>
                <w:szCs w:val="24"/>
              </w:rPr>
              <w:t xml:space="preserve"> (улучшение жилищных условий, эксплуатация и ремонт жилищного фонда, проблемы аварийных домов и ветхого жилья)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коммунального хозяйства</w:t>
            </w:r>
            <w:r>
              <w:rPr>
                <w:sz w:val="24"/>
                <w:szCs w:val="24"/>
              </w:rPr>
              <w:t xml:space="preserve"> (благоустройство, электроснабжение, освещение, водоснабжение, жалобы на управляющие компании)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Транспортная инфраструктура, связь и информатизация</w:t>
            </w:r>
            <w:r>
              <w:rPr>
                <w:sz w:val="24"/>
                <w:szCs w:val="24"/>
              </w:rPr>
              <w:t xml:space="preserve"> (безопасность дорожного движения, работа общественного транспорта, деятельность средств массовой информации)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 и культура, спорт</w:t>
            </w:r>
            <w:r>
              <w:rPr>
                <w:sz w:val="24"/>
                <w:szCs w:val="24"/>
              </w:rPr>
              <w:t xml:space="preserve"> (деятельность образовательных учреждений и их руководителей, работа внешкольных учреждений, вопросы спорта и туризма)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здравоохранения</w:t>
            </w:r>
            <w:r>
              <w:rPr>
                <w:sz w:val="24"/>
                <w:szCs w:val="24"/>
              </w:rPr>
              <w:t xml:space="preserve"> (работа организаций здравоохранения, оказание медицинской помощи, помещение в лечебные учреждения, обеспечение лекарственными препаратами и медицинской техникой, работа аптечной сети)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Трудовые отношения</w:t>
            </w:r>
            <w:r>
              <w:rPr>
                <w:sz w:val="24"/>
                <w:szCs w:val="24"/>
              </w:rPr>
              <w:t xml:space="preserve"> (трудоустройство, увольнение и восстановление на работу, трудовые правоотношения на производстве)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социальной защиты и социального обеспечения</w:t>
            </w:r>
            <w:r>
              <w:rPr>
                <w:sz w:val="24"/>
                <w:szCs w:val="24"/>
              </w:rPr>
              <w:t xml:space="preserve"> (оказание материальной помощи, выплаты пособий и компенсаций, обеспечение санаторными путевками льготных категорий населения, предоставление льгот, пенсионное обеспечение)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8D197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74" w:rsidRDefault="00C01A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8D1974" w:rsidRDefault="00C01A8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Рисунок 2: Данные об обращениях, поступивших в адрес депутатов Государственного Собрания Республики Мордовия в 2024 г., в разрезе отраслей законодательства</w:t>
      </w:r>
    </w:p>
    <w:p w:rsidR="008D1974" w:rsidRDefault="008D1974">
      <w:pPr>
        <w:spacing w:line="276" w:lineRule="auto"/>
        <w:jc w:val="center"/>
        <w:rPr>
          <w:sz w:val="24"/>
          <w:szCs w:val="24"/>
        </w:rPr>
      </w:pPr>
    </w:p>
    <w:p w:rsidR="008D1974" w:rsidRDefault="00C01A81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38215" cy="3200400"/>
            <wp:effectExtent l="0" t="0" r="635" b="0"/>
            <wp:docPr id="2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2024 год даны разъяснения действующего законодательства 13 гражданам, обратившимся через платформу «Инцидент Менеджмент».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обращения рассмотрены с соблюдением сроков, установленных Федеральным законом от 2 мая 2006 года № 59-ФЗ «О порядке рассмотрения обращений граждан Российской </w:t>
      </w:r>
      <w:bookmarkStart w:id="0" w:name="_GoBack"/>
      <w:bookmarkEnd w:id="0"/>
      <w:r>
        <w:rPr>
          <w:sz w:val="26"/>
          <w:szCs w:val="26"/>
        </w:rPr>
        <w:t xml:space="preserve">Федерации». 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1004 обращения поступили от жителей города Саранска, 665 – из муниципальных районов Республики Мордовия, 70 – из других регионов. </w:t>
      </w:r>
    </w:p>
    <w:p w:rsidR="008D1974" w:rsidRDefault="008D1974">
      <w:pPr>
        <w:spacing w:line="276" w:lineRule="auto"/>
        <w:jc w:val="both"/>
        <w:rPr>
          <w:sz w:val="28"/>
          <w:szCs w:val="28"/>
        </w:rPr>
      </w:pPr>
    </w:p>
    <w:p w:rsidR="008D1974" w:rsidRDefault="00C01A81">
      <w:pPr>
        <w:spacing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Рисунок 3: Распределение данных по территориальной принадлежности обратившихся </w:t>
      </w:r>
    </w:p>
    <w:p w:rsidR="008D1974" w:rsidRDefault="00C01A81">
      <w:pPr>
        <w:spacing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>к депутатам Государственного Собрания Республики Мордовия в 2024 г.</w:t>
      </w:r>
    </w:p>
    <w:p w:rsidR="008D1974" w:rsidRDefault="008D1974">
      <w:pPr>
        <w:spacing w:line="276" w:lineRule="auto"/>
        <w:jc w:val="center"/>
        <w:rPr>
          <w:sz w:val="24"/>
          <w:szCs w:val="28"/>
        </w:rPr>
      </w:pPr>
    </w:p>
    <w:p w:rsidR="008D1974" w:rsidRDefault="00C01A81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24475" cy="2838450"/>
            <wp:effectExtent l="0" t="0" r="9525" b="0"/>
            <wp:docPr id="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Наиболее волнующими для населения республики остаются вопросы социальной направленности. В 2024 году по теме «Вопросы социальной защиты и социального обеспечения» и «Трудовые отношения» поступило 414 обращений, из них 90 об оказании материальной помощи гражданам, попавшим в трудную жизненную ситуацию. Обращались многодетные семьи; лица, потерявшие имущество в связи с пожаром; пенсионеры и инвалиды. Граждане просили содействия в выделении путевок на санаторно-курортное лечение, в приобретении лекарственных препаратов, предоставлении льгот за ЖКУ, также поднимались вопросы пенсионного обеспечения и трудоустройства.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особом контроле находились обращения семей участников специальной военной операции.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Депутаты Государственного Собрания Республики Мордовия рассмотрели 138 обращений, которые касались работы органов государственной власти и местного самоуправления, а также сферы защиты прав и свобод человека и гражданина. 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Граждане активно вносили предложения по совершенствованию действующего законодательства Российской Федерации и субъектов Российской Федерации. По теме «Законодательство» зарегистрировано 90 соответствующих обращений.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года поступило и было рассмотрено депутатами 66 обращений по вопросам бюджетной, финансовой и налоговой политики, 9 из них в связи с проведением публичных слушаний по проекту республиканского бюджета Республики Мордовия на 2025 год и на плановый период 2026 и 2027 годов. </w:t>
      </w:r>
    </w:p>
    <w:p w:rsidR="008D1974" w:rsidRDefault="00C01A81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в Закон Республики Мордовия от 17 октября 2002 года № 46-З «О транспортном налоге» дважды внесены изменения, касающиеся уточнения категории налогоплательщиков, в частности освобождены от уплаты транспортного налога члены семей погибших (умерших) участников специальной военной операции, а также военнослужащие, проходящие военную службу по контракту, принимающие участие в специальной военной операции.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теме «Строительство» рассмотрено 125 обращений, в основном по вопросам дорожного строительства. Чаще обращаются граждане, проживающие в сельской местности.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Рассмотрены обращения 76 семей по вопросам улучшения жилищных условий, проблемам аварийных домов и ветхого жилья.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депутатский контроль взяты и приняты в работу 141 обращение по теме «Вопросы коммунального хозяйства» (обустройство придомовых территорий, водоснабжение, освещение, предоставление коммунальных услуг ненадлежащего качества).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образования и здравоохранения поступило 387 обращений. Граждане отмечали, что нуждаются в содействии оказания медицинской помощи, обеспечения лекарствами и медицинской техникой, в выделении мест в детских садах и школах.</w:t>
      </w:r>
    </w:p>
    <w:p w:rsidR="008D1974" w:rsidRDefault="00C01A81">
      <w:pPr>
        <w:pStyle w:val="af3"/>
        <w:spacing w:beforeAutospacing="0" w:afterAutospacing="0" w:line="271" w:lineRule="auto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По теме «Аграрная политика, землепользование, природные ресурсы и экология» рассмотрено 58 обращений, в том числе в связи с внесением изменения в </w:t>
      </w:r>
      <w:r>
        <w:rPr>
          <w:sz w:val="26"/>
          <w:szCs w:val="26"/>
        </w:rPr>
        <w:lastRenderedPageBreak/>
        <w:t>статью 3 Закона Республики Мордовия от 14 марта 2024 года № 17-З «О порядке предоставления в Республике Мордовия земельных участков участникам специальной военной операции и членам их семей».</w:t>
      </w:r>
      <w:r>
        <w:rPr>
          <w:sz w:val="26"/>
          <w:szCs w:val="26"/>
        </w:rPr>
        <w:br/>
        <w:t>Участникам специальной военной операции,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членам их семей была предоставлена  возможность воспользоваться льготой на предоставление земельного участка в собственность бесплатно в период участия в специальной военной операции, к примеру, во время нахождения в отпуске.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D1974" w:rsidRDefault="00C01A81">
      <w:pPr>
        <w:pStyle w:val="af3"/>
        <w:spacing w:beforeAutospacing="0" w:afterAutospacing="0" w:line="271" w:lineRule="auto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целях дополнительной поддержки участников специальной военной операции и членов семей погибших (умерших) участников специальной военной операции</w:t>
      </w:r>
      <w:r>
        <w:rPr>
          <w:sz w:val="26"/>
          <w:szCs w:val="26"/>
        </w:rPr>
        <w:t xml:space="preserve">  в Закон Республики Мордовия</w:t>
      </w:r>
      <w:r>
        <w:rPr>
          <w:bCs/>
          <w:sz w:val="26"/>
          <w:szCs w:val="26"/>
        </w:rPr>
        <w:t xml:space="preserve"> «Об установлении порядка и нормативов заготовки древесины, порядка заготовки и сбора </w:t>
      </w:r>
      <w:proofErr w:type="spellStart"/>
      <w:r>
        <w:rPr>
          <w:bCs/>
          <w:sz w:val="26"/>
          <w:szCs w:val="26"/>
        </w:rPr>
        <w:t>недревесных</w:t>
      </w:r>
      <w:proofErr w:type="spellEnd"/>
      <w:r>
        <w:rPr>
          <w:bCs/>
          <w:sz w:val="26"/>
          <w:szCs w:val="26"/>
        </w:rPr>
        <w:t xml:space="preserve"> лесных ресурсов, порядка заготовки пищевых лесных ресурсов и сбора лекарственных растений на территории Республики Мордовия гражданами для собственных нужд» были внесены изменения в части установления им преимущественного права на заготовку древесины для собственных нужд</w:t>
      </w:r>
      <w:r>
        <w:rPr>
          <w:sz w:val="26"/>
          <w:szCs w:val="26"/>
        </w:rPr>
        <w:t xml:space="preserve">. Также </w:t>
      </w:r>
      <w:r>
        <w:rPr>
          <w:bCs/>
          <w:sz w:val="26"/>
          <w:szCs w:val="26"/>
        </w:rPr>
        <w:t xml:space="preserve">для данной категории граждан дополнительно к нормативам, предусмотренным действующим законом, установлен разовый норматив на заготовку древесины в объеме до 150 </w:t>
      </w:r>
      <w:r>
        <w:rPr>
          <w:sz w:val="26"/>
          <w:szCs w:val="26"/>
        </w:rPr>
        <w:t>кубических метров</w:t>
      </w:r>
      <w:r>
        <w:rPr>
          <w:bCs/>
          <w:sz w:val="26"/>
          <w:szCs w:val="26"/>
        </w:rPr>
        <w:t xml:space="preserve">. </w:t>
      </w:r>
    </w:p>
    <w:p w:rsidR="008D1974" w:rsidRDefault="00C01A81">
      <w:pPr>
        <w:pStyle w:val="af3"/>
        <w:spacing w:beforeAutospacing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поступали обращения, касающиеся вопросов экологии и регулирования численности животных без владельцев на территории населенных пунктов Республики Мордовия. </w:t>
      </w:r>
    </w:p>
    <w:p w:rsidR="008D1974" w:rsidRDefault="00C01A81">
      <w:pPr>
        <w:pStyle w:val="af3"/>
        <w:spacing w:beforeAutospacing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122 обращения - по вопросам работы общественного транспорта, обеспечения безопасности дорожного движения. Граждане, в основном жители </w:t>
      </w:r>
      <w:proofErr w:type="spellStart"/>
      <w:r>
        <w:rPr>
          <w:sz w:val="26"/>
          <w:szCs w:val="26"/>
        </w:rPr>
        <w:t>г.о</w:t>
      </w:r>
      <w:proofErr w:type="spellEnd"/>
      <w:r>
        <w:rPr>
          <w:sz w:val="26"/>
          <w:szCs w:val="26"/>
        </w:rPr>
        <w:t>. Саранск, вносили свои предложения по улучшению работы общественного транспорта, открытию новых маршрутов.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теме «Иные вопросы» – 122 обращения.</w:t>
      </w:r>
    </w:p>
    <w:p w:rsidR="008D1974" w:rsidRDefault="00C01A8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Также одной из форм работы с населением являются личные приемы граждан, которые депутаты проводят в Государственном Собрании Республики Мордовия, в избирательных округах, на базе общественных приемных региональных отделений политических партий.</w:t>
      </w:r>
    </w:p>
    <w:p w:rsidR="008D1974" w:rsidRDefault="008D1974">
      <w:pPr>
        <w:spacing w:line="276" w:lineRule="auto"/>
        <w:jc w:val="both"/>
        <w:rPr>
          <w:sz w:val="26"/>
          <w:szCs w:val="26"/>
        </w:rPr>
      </w:pPr>
    </w:p>
    <w:p w:rsidR="008D1974" w:rsidRDefault="008D1974">
      <w:pPr>
        <w:spacing w:line="276" w:lineRule="auto"/>
        <w:jc w:val="both"/>
        <w:rPr>
          <w:sz w:val="26"/>
          <w:szCs w:val="26"/>
        </w:rPr>
      </w:pPr>
    </w:p>
    <w:p w:rsidR="008D1974" w:rsidRDefault="00C01A8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Таблица № 2</w:t>
      </w:r>
    </w:p>
    <w:p w:rsidR="008D1974" w:rsidRDefault="00C01A81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результатах рассмотрения обращений граждан руководителями фракций Государственного Собрания Республики Мордовия, депутатами Государственного Собрания Республики Мордовия на площадках приемных парламентских политических партий:</w:t>
      </w:r>
    </w:p>
    <w:p w:rsidR="008D1974" w:rsidRDefault="008D1974">
      <w:pPr>
        <w:spacing w:line="276" w:lineRule="auto"/>
        <w:ind w:firstLine="708"/>
        <w:jc w:val="center"/>
        <w:rPr>
          <w:sz w:val="26"/>
          <w:szCs w:val="26"/>
        </w:rPr>
      </w:pPr>
    </w:p>
    <w:p w:rsidR="00032F04" w:rsidRDefault="00032F04">
      <w:pPr>
        <w:spacing w:line="276" w:lineRule="auto"/>
        <w:ind w:firstLine="708"/>
        <w:jc w:val="center"/>
        <w:rPr>
          <w:sz w:val="26"/>
          <w:szCs w:val="26"/>
        </w:rPr>
      </w:pPr>
    </w:p>
    <w:p w:rsidR="00032F04" w:rsidRDefault="00032F04">
      <w:pPr>
        <w:spacing w:line="276" w:lineRule="auto"/>
        <w:ind w:firstLine="708"/>
        <w:jc w:val="center"/>
        <w:rPr>
          <w:sz w:val="26"/>
          <w:szCs w:val="26"/>
        </w:rPr>
      </w:pPr>
    </w:p>
    <w:p w:rsidR="00032F04" w:rsidRDefault="00032F04">
      <w:pPr>
        <w:spacing w:line="276" w:lineRule="auto"/>
        <w:ind w:firstLine="708"/>
        <w:jc w:val="center"/>
        <w:rPr>
          <w:sz w:val="26"/>
          <w:szCs w:val="26"/>
        </w:rPr>
      </w:pPr>
    </w:p>
    <w:tbl>
      <w:tblPr>
        <w:tblW w:w="873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38"/>
        <w:gridCol w:w="1701"/>
        <w:gridCol w:w="1682"/>
        <w:gridCol w:w="2212"/>
      </w:tblGrid>
      <w:tr w:rsidR="008D1974">
        <w:trPr>
          <w:trHeight w:val="2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Политические партии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обратившихся граждан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 решенные вопросы</w:t>
            </w:r>
          </w:p>
        </w:tc>
      </w:tr>
      <w:tr w:rsidR="008D1974">
        <w:trPr>
          <w:trHeight w:val="2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8D1974">
            <w:pPr>
              <w:jc w:val="center"/>
              <w:rPr>
                <w:sz w:val="24"/>
                <w:szCs w:val="24"/>
              </w:rPr>
            </w:pPr>
          </w:p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«ЕДИНАЯ РОССИЯ» </w:t>
            </w:r>
          </w:p>
          <w:p w:rsidR="008D1974" w:rsidRDefault="008D1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8D1974">
        <w:trPr>
          <w:trHeight w:val="2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8D1974">
            <w:pPr>
              <w:jc w:val="center"/>
              <w:rPr>
                <w:sz w:val="24"/>
                <w:szCs w:val="24"/>
              </w:rPr>
            </w:pPr>
          </w:p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«КПРФ»</w:t>
            </w:r>
          </w:p>
          <w:p w:rsidR="008D1974" w:rsidRDefault="008D1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  <w:tr w:rsidR="008D1974">
        <w:trPr>
          <w:trHeight w:val="2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8D1974">
            <w:pPr>
              <w:jc w:val="center"/>
              <w:rPr>
                <w:sz w:val="24"/>
                <w:szCs w:val="24"/>
              </w:rPr>
            </w:pPr>
          </w:p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«ЛДПР»</w:t>
            </w:r>
          </w:p>
          <w:p w:rsidR="008D1974" w:rsidRDefault="008D1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39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177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90</w:t>
            </w:r>
          </w:p>
        </w:tc>
      </w:tr>
      <w:tr w:rsidR="008D1974">
        <w:trPr>
          <w:trHeight w:val="2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974" w:rsidRDefault="008D1974">
            <w:pPr>
              <w:jc w:val="center"/>
              <w:rPr>
                <w:sz w:val="24"/>
                <w:szCs w:val="24"/>
              </w:rPr>
            </w:pPr>
          </w:p>
          <w:p w:rsidR="008D1974" w:rsidRDefault="00C0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«СРАВЕДЛИВАЯ РОССИЯ-ЗА ПРАВДУ»</w:t>
            </w:r>
          </w:p>
          <w:p w:rsidR="008D1974" w:rsidRDefault="008D1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147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974" w:rsidRDefault="00C0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57</w:t>
            </w:r>
          </w:p>
        </w:tc>
      </w:tr>
    </w:tbl>
    <w:p w:rsidR="008D1974" w:rsidRDefault="008D1974">
      <w:pPr>
        <w:rPr>
          <w:sz w:val="24"/>
          <w:szCs w:val="24"/>
        </w:rPr>
      </w:pPr>
    </w:p>
    <w:p w:rsidR="008D1974" w:rsidRDefault="00C01A8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 в 2024 году депутатами Государственного Собрания Республики Мордовия рассмотрено 2858 обращений (с учетом рассмотренных обращений на площадках парламентских партий).</w:t>
      </w:r>
    </w:p>
    <w:p w:rsidR="008D1974" w:rsidRDefault="00C01A8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Работа депутатов Государственного Собрания Республики Мордовия с избирателями продолжает оставаться приоритетным направлением.</w:t>
      </w:r>
    </w:p>
    <w:sectPr w:rsidR="008D1974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A1" w:rsidRDefault="006878A1">
      <w:r>
        <w:separator/>
      </w:r>
    </w:p>
  </w:endnote>
  <w:endnote w:type="continuationSeparator" w:id="0">
    <w:p w:rsidR="006878A1" w:rsidRDefault="006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74" w:rsidRDefault="00C01A81">
    <w:pPr>
      <w:pStyle w:val="a9"/>
      <w:jc w:val="right"/>
    </w:pPr>
    <w:r>
      <w:fldChar w:fldCharType="begin"/>
    </w:r>
    <w:r>
      <w:fldChar w:fldCharType="end"/>
    </w:r>
    <w:sdt>
      <w:sdtPr>
        <w:id w:val="307137506"/>
      </w:sdtPr>
      <w:sdtEndPr/>
      <w:sdtContent>
        <w:r>
          <w:t>PAGE   \* MERGEFORMAT5</w:t>
        </w:r>
      </w:sdtContent>
    </w:sdt>
  </w:p>
  <w:p w:rsidR="008D1974" w:rsidRDefault="008D19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A1" w:rsidRDefault="006878A1">
      <w:r>
        <w:separator/>
      </w:r>
    </w:p>
  </w:footnote>
  <w:footnote w:type="continuationSeparator" w:id="0">
    <w:p w:rsidR="006878A1" w:rsidRDefault="0068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74"/>
    <w:rsid w:val="00032F04"/>
    <w:rsid w:val="000923A5"/>
    <w:rsid w:val="00214BFC"/>
    <w:rsid w:val="0030142C"/>
    <w:rsid w:val="00623804"/>
    <w:rsid w:val="006878A1"/>
    <w:rsid w:val="006E2D07"/>
    <w:rsid w:val="00864C16"/>
    <w:rsid w:val="008D1974"/>
    <w:rsid w:val="0095511A"/>
    <w:rsid w:val="00973EF5"/>
    <w:rsid w:val="009B7A48"/>
    <w:rsid w:val="00C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30AD5-8964-4667-A9E5-0C6010C6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AD5"/>
    <w:rPr>
      <w:b/>
      <w:bCs/>
    </w:rPr>
  </w:style>
  <w:style w:type="character" w:customStyle="1" w:styleId="a4">
    <w:name w:val="Название Знак"/>
    <w:basedOn w:val="a0"/>
    <w:link w:val="a5"/>
    <w:qFormat/>
    <w:rsid w:val="00A31188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0B42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Title"/>
    <w:basedOn w:val="a"/>
    <w:link w:val="a4"/>
    <w:qFormat/>
    <w:rsid w:val="00A31188"/>
    <w:pPr>
      <w:jc w:val="center"/>
    </w:pPr>
    <w:rPr>
      <w:sz w:val="28"/>
    </w:r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504A3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504A3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0B4253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3E08D8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C21AAE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30"/>
      <c:rotY val="0"/>
      <c:rAngAx val="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1.9375E-3"/>
          <c:y val="3.6666666666666702E-2"/>
          <c:w val="0.95699999999999996"/>
          <c:h val="0.816888888888889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Pt>
            <c:idx val="0"/>
            <c:bubble3D val="0"/>
            <c:spPr>
              <a:gradFill>
                <a:gsLst>
                  <a:gs pos="0">
                    <a:srgbClr val="71A6DA"/>
                  </a:gs>
                  <a:gs pos="50000">
                    <a:srgbClr val="549ADA"/>
                  </a:gs>
                  <a:gs pos="100000">
                    <a:srgbClr val="448AC9"/>
                  </a:gs>
                </a:gsLst>
                <a:lin ang="5400000"/>
              </a:gradFill>
              <a:ln w="0">
                <a:noFill/>
              </a:ln>
            </c:spPr>
          </c:dPt>
          <c:dPt>
            <c:idx val="1"/>
            <c:bubble3D val="0"/>
            <c:spPr>
              <a:gradFill>
                <a:gsLst>
                  <a:gs pos="0">
                    <a:srgbClr val="F08C56"/>
                  </a:gs>
                  <a:gs pos="50000">
                    <a:srgbClr val="F57A27"/>
                  </a:gs>
                  <a:gs pos="100000">
                    <a:srgbClr val="E46B19"/>
                  </a:gs>
                </a:gsLst>
                <a:lin ang="5400000"/>
              </a:gradFill>
              <a:ln w="0">
                <a:noFill/>
              </a:ln>
            </c:spPr>
          </c:dPt>
          <c:dPt>
            <c:idx val="2"/>
            <c:bubble3D val="0"/>
            <c:spPr>
              <a:solidFill>
                <a:srgbClr val="44546A"/>
              </a:solidFill>
              <a:ln w="0">
                <a:noFill/>
              </a:ln>
            </c:spPr>
          </c:dPt>
          <c:dPt>
            <c:idx val="3"/>
            <c:bubble3D val="0"/>
            <c:spPr>
              <a:gradFill>
                <a:gsLst>
                  <a:gs pos="0">
                    <a:srgbClr val="FFC54B"/>
                  </a:gs>
                  <a:gs pos="50000">
                    <a:srgbClr val="FFBF00"/>
                  </a:gs>
                  <a:gs pos="100000">
                    <a:srgbClr val="E2AA00"/>
                  </a:gs>
                </a:gsLst>
                <a:lin ang="5400000"/>
              </a:gra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-0.2128688921141752"/>
                  <c:y val="-0.1223241590214067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strike="noStrike" spc="-1" baseline="0">
                        <a:solidFill>
                          <a:schemeClr val="bg1"/>
                        </a:solidFill>
                        <a:latin typeface="Calibri"/>
                      </a:rPr>
                      <a:t>52%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096274794388002"/>
                  <c:y val="-0.4036697247706422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strike="noStrike" spc="-1" baseline="0">
                        <a:solidFill>
                          <a:schemeClr val="bg1"/>
                        </a:solidFill>
                        <a:latin typeface="Calibri"/>
                      </a:rPr>
                      <a:t>10%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70343492985006E-2"/>
                  <c:y val="0.28134556574923547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strike="noStrike" spc="-1" baseline="0">
                        <a:solidFill>
                          <a:schemeClr val="bg1"/>
                        </a:solidFill>
                        <a:latin typeface="Calibri"/>
                      </a:rPr>
                      <a:t>
38%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/>
              <c:txPr>
                <a:bodyPr wrap="square"/>
                <a:lstStyle/>
                <a:p>
                  <a:pPr>
                    <a:defRPr sz="14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4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1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Интернет-приемная и электронная почта </c:v>
                </c:pt>
                <c:pt idx="1">
                  <c:v>Почтовой связью</c:v>
                </c:pt>
                <c:pt idx="2">
                  <c:v>Передано гражданами в ходе личных приёмов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0.52</c:v>
                </c:pt>
                <c:pt idx="1">
                  <c:v>0.38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6.5000000000000002E-2"/>
          <c:y val="0.87744444444444503"/>
          <c:w val="0.87917994874679695"/>
          <c:h val="6.9563284809423295E-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44546A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E0E5EB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5"/>
      <c:rotY val="0"/>
      <c:rAngAx val="0"/>
      <c:perspective val="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28675"/>
          <c:y val="0.251888888888889"/>
          <c:w val="0.52656250000000004"/>
          <c:h val="0.41322222222222199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9999FF"/>
            </a:solidFill>
            <a:ln w="13320">
              <a:solidFill>
                <a:srgbClr val="000000"/>
              </a:solidFill>
              <a:round/>
            </a:ln>
          </c:spPr>
          <c:dPt>
            <c:idx val="0"/>
            <c:bubble3D val="0"/>
            <c:spPr>
              <a:solidFill>
                <a:srgbClr val="518ABD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5"/>
            <c:bubble3D val="0"/>
            <c:spPr>
              <a:solidFill>
                <a:srgbClr val="FF00FF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6"/>
            <c:bubble3D val="0"/>
            <c:spPr>
              <a:solidFill>
                <a:srgbClr val="33CC33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7"/>
            <c:bubble3D val="0"/>
            <c:spPr>
              <a:solidFill>
                <a:srgbClr val="FF6600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9"/>
            <c:bubble3D val="0"/>
            <c:spPr>
              <a:solidFill>
                <a:srgbClr val="CC9900"/>
              </a:solidFill>
              <a:ln w="13320">
                <a:solidFill>
                  <a:srgbClr val="000000"/>
                </a:solidFill>
                <a:round/>
              </a:ln>
            </c:spPr>
          </c:dPt>
          <c:dPt>
            <c:idx val="10"/>
            <c:bubble3D val="0"/>
            <c:spPr>
              <a:solidFill>
                <a:srgbClr val="800000"/>
              </a:solidFill>
              <a:ln w="13320">
                <a:solidFill>
                  <a:srgbClr val="000000"/>
                </a:solidFill>
                <a:round/>
              </a:ln>
            </c:spPr>
          </c:dPt>
          <c:dLbls>
            <c:dLbl>
              <c:idx val="0"/>
              <c:layout>
                <c:manualLayout>
                  <c:x val="-0.10516352928804298"/>
                  <c:y val="-3.968253968253968E-3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Трудовые отношения
7%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71952886738958E-2"/>
                  <c:y val="-3.9682539682539722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Жилищные вопросы
4%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Законодательство, бюджет, финансовая и налоговая политика
10%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3.968253968253968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Образование, культура и спорт 5%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130823430434327E-3"/>
                  <c:y val="1.1904761904761904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Вопросы социальной защиты
17%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28134639127623E-2"/>
                  <c:y val="1.4100424946881567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Деятельность органов гос. власти и органов МСУ
7%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9168711283052977E-2"/>
                  <c:y val="4.0074365704286963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Вопросы здравоохранения
17%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4130823430434327E-3"/>
                  <c:y val="3.9682539682539611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Дорожное строительство и транспортная инфраструктура
14%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6826164686086865E-2"/>
                  <c:y val="1.1904761904761904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Аграрная политика, землепользование, природные ресурсы и экология
3%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9634064040449037E-2"/>
                  <c:y val="-4.3767966504186975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Иные вопросы 
7%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5201388158586532E-2"/>
                  <c:y val="-1.5873015873015889E-2"/>
                </c:manualLayout>
              </c:layout>
              <c:tx>
                <c:rich>
                  <a:bodyPr/>
                  <a:lstStyle/>
                  <a:p>
                    <a:r>
                      <a:rPr lang="ru-RU" sz="700" b="0" strike="noStrike" spc="-1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</a:rPr>
                      <a:t>Вопросы коммунального хозяйства
9%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54" b="0" strike="noStrike" spc="-1">
                    <a:solidFill>
                      <a:srgbClr val="000000"/>
                    </a:solidFill>
                    <a:latin typeface="Times New Roman"/>
                    <a:ea typeface="Times New Roman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1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11"/>
                <c:pt idx="0">
                  <c:v>Трудовые отношения</c:v>
                </c:pt>
                <c:pt idx="1">
                  <c:v>Жилищные вопросы</c:v>
                </c:pt>
                <c:pt idx="2">
                  <c:v>Законодательство, бюджет, финансовая и налоговая политика</c:v>
                </c:pt>
                <c:pt idx="3">
                  <c:v>Образование, культура и спорт</c:v>
                </c:pt>
                <c:pt idx="4">
                  <c:v>Вопросы социальной защиты</c:v>
                </c:pt>
                <c:pt idx="5">
                  <c:v>Деятельность органов гос. власти и органов МСУ</c:v>
                </c:pt>
                <c:pt idx="6">
                  <c:v>Вопросы здравоохранения</c:v>
                </c:pt>
                <c:pt idx="7">
                  <c:v>Дорожное строительство и транспортная инфраструктура</c:v>
                </c:pt>
                <c:pt idx="8">
                  <c:v>Аграрная политика, землепользование, природные ресурсы и экология</c:v>
                </c:pt>
                <c:pt idx="9">
                  <c:v>Иные вопросы </c:v>
                </c:pt>
                <c:pt idx="10">
                  <c:v>Вопросы коммунального хозяйства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10</c:v>
                </c:pt>
                <c:pt idx="3">
                  <c:v>5</c:v>
                </c:pt>
                <c:pt idx="4">
                  <c:v>17</c:v>
                </c:pt>
                <c:pt idx="5">
                  <c:v>7</c:v>
                </c:pt>
                <c:pt idx="6">
                  <c:v>17</c:v>
                </c:pt>
                <c:pt idx="7">
                  <c:v>14</c:v>
                </c:pt>
                <c:pt idx="8">
                  <c:v>3</c:v>
                </c:pt>
                <c:pt idx="9">
                  <c:v>7</c:v>
                </c:pt>
                <c:pt idx="1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1"/>
  </c:chart>
  <c:spPr>
    <a:solidFill>
      <a:srgbClr val="FFFFFF"/>
    </a:solidFill>
    <a:ln w="3240">
      <a:solidFill>
        <a:srgbClr val="000000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30"/>
      <c:rotY val="0"/>
      <c:rAngAx val="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9.0249999999999997E-2"/>
          <c:y val="9.2555555555555599E-2"/>
          <c:w val="0.82406250000000003"/>
          <c:h val="0.70822222222222198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bubble3D val="0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bubble3D val="0"/>
            <c:spPr>
              <a:solidFill>
                <a:srgbClr val="00B05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dLbl>
              <c:idx val="0"/>
              <c:layout>
                <c:manualLayout>
                  <c:x val="-0.25521765056648776"/>
                  <c:y val="-0.13870246085011187"/>
                </c:manualLayout>
              </c:layout>
              <c:tx>
                <c:rich>
                  <a:bodyPr/>
                  <a:lstStyle/>
                  <a:p>
                    <a:r>
                      <a:rPr lang="en-US" sz="1400" b="0" strike="noStrike" spc="-1" baseline="0">
                        <a:solidFill>
                          <a:srgbClr val="404040"/>
                        </a:solidFill>
                        <a:latin typeface="Calibri"/>
                      </a:rPr>
                      <a:t>57%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0638044126416267E-2"/>
                  <c:y val="-0.4697986577181209"/>
                </c:manualLayout>
              </c:layout>
              <c:tx>
                <c:rich>
                  <a:bodyPr/>
                  <a:lstStyle/>
                  <a:p>
                    <a:r>
                      <a:rPr lang="en-US" sz="1400" b="0" strike="noStrike" spc="-1">
                        <a:solidFill>
                          <a:srgbClr val="404040"/>
                        </a:solidFill>
                        <a:latin typeface="Calibri"/>
                      </a:rPr>
                      <a:t>38%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788312462731068"/>
                  <c:y val="0.29977628635346754"/>
                </c:manualLayout>
              </c:layout>
              <c:tx>
                <c:rich>
                  <a:bodyPr/>
                  <a:lstStyle/>
                  <a:p>
                    <a:r>
                      <a:rPr lang="en-US" sz="1400" b="0" strike="noStrike" spc="-1">
                        <a:solidFill>
                          <a:srgbClr val="404040"/>
                        </a:solidFill>
                        <a:latin typeface="Calibri"/>
                      </a:rPr>
                      <a:t>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г.о. Саранск</c:v>
                </c:pt>
                <c:pt idx="1">
                  <c:v>Другие регионы </c:v>
                </c:pt>
                <c:pt idx="2">
                  <c:v>Муниципальные районы РМ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0.56999999999999995</c:v>
                </c:pt>
                <c:pt idx="1">
                  <c:v>0.05</c:v>
                </c:pt>
                <c:pt idx="2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egendEntry>
        <c:idx val="3"/>
        <c:delete val="1"/>
      </c:legendEntry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Федонина</dc:creator>
  <dc:description/>
  <cp:lastModifiedBy>Федонина</cp:lastModifiedBy>
  <cp:revision>9</cp:revision>
  <cp:lastPrinted>2024-02-01T12:53:00Z</cp:lastPrinted>
  <dcterms:created xsi:type="dcterms:W3CDTF">2025-01-10T07:29:00Z</dcterms:created>
  <dcterms:modified xsi:type="dcterms:W3CDTF">2025-01-10T07:52:00Z</dcterms:modified>
  <dc:language>ru-RU</dc:language>
</cp:coreProperties>
</file>